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F6" w:rsidRPr="003B127D" w:rsidRDefault="007072BE" w:rsidP="00836C95">
      <w:pPr>
        <w:jc w:val="center"/>
        <w:rPr>
          <w:rFonts w:ascii="Arial" w:hAnsi="Arial" w:cs="Arial"/>
          <w:b/>
        </w:rPr>
      </w:pPr>
      <w:r w:rsidRPr="003B127D">
        <w:rPr>
          <w:rFonts w:ascii="Arial" w:hAnsi="Arial" w:cs="Arial"/>
          <w:b/>
        </w:rPr>
        <w:t>Business Associate Agreement</w:t>
      </w:r>
      <w:r w:rsidR="00836C95" w:rsidRPr="003B127D">
        <w:rPr>
          <w:rFonts w:ascii="Arial" w:hAnsi="Arial" w:cs="Arial"/>
          <w:b/>
        </w:rPr>
        <w:t xml:space="preserve"> </w:t>
      </w:r>
      <w:r w:rsidRPr="003B127D">
        <w:rPr>
          <w:rFonts w:ascii="Arial" w:hAnsi="Arial" w:cs="Arial"/>
          <w:b/>
        </w:rPr>
        <w:t>Checklist</w:t>
      </w:r>
    </w:p>
    <w:p w:rsidR="007072BE" w:rsidRDefault="007072BE">
      <w:pPr>
        <w:rPr>
          <w:rFonts w:ascii="Arial" w:hAnsi="Arial" w:cs="Arial"/>
          <w:sz w:val="20"/>
          <w:szCs w:val="20"/>
        </w:rPr>
      </w:pPr>
    </w:p>
    <w:tbl>
      <w:tblPr>
        <w:tblStyle w:val="TableGrid"/>
        <w:tblW w:w="0" w:type="auto"/>
        <w:tblLook w:val="04A0" w:firstRow="1" w:lastRow="0" w:firstColumn="1" w:lastColumn="0" w:noHBand="0" w:noVBand="1"/>
      </w:tblPr>
      <w:tblGrid>
        <w:gridCol w:w="9576"/>
      </w:tblGrid>
      <w:tr w:rsidR="00A97949" w:rsidTr="00A97949">
        <w:tc>
          <w:tcPr>
            <w:tcW w:w="9576" w:type="dxa"/>
            <w:shd w:val="clear" w:color="auto" w:fill="DBE5F1" w:themeFill="accent1" w:themeFillTint="33"/>
          </w:tcPr>
          <w:p w:rsidR="00A97949" w:rsidRDefault="00A97949">
            <w:pPr>
              <w:rPr>
                <w:rFonts w:ascii="Arial" w:hAnsi="Arial" w:cs="Arial"/>
                <w:sz w:val="20"/>
                <w:szCs w:val="20"/>
              </w:rPr>
            </w:pPr>
            <w:r w:rsidRPr="00A97949">
              <w:rPr>
                <w:rFonts w:ascii="Arial" w:hAnsi="Arial" w:cs="Arial"/>
                <w:sz w:val="20"/>
                <w:szCs w:val="20"/>
                <w:u w:val="single"/>
              </w:rPr>
              <w:t>Purpose</w:t>
            </w:r>
            <w:r w:rsidRPr="00A97949">
              <w:rPr>
                <w:rFonts w:ascii="Arial" w:hAnsi="Arial" w:cs="Arial"/>
                <w:sz w:val="20"/>
                <w:szCs w:val="20"/>
              </w:rPr>
              <w:t>:</w:t>
            </w:r>
            <w:r>
              <w:rPr>
                <w:rFonts w:ascii="Arial" w:hAnsi="Arial" w:cs="Arial"/>
                <w:sz w:val="20"/>
                <w:szCs w:val="20"/>
              </w:rPr>
              <w:t xml:space="preserve"> </w:t>
            </w:r>
            <w:r w:rsidRPr="003B127D">
              <w:rPr>
                <w:rFonts w:ascii="Arial" w:hAnsi="Arial" w:cs="Arial"/>
                <w:sz w:val="20"/>
                <w:szCs w:val="20"/>
              </w:rPr>
              <w:t xml:space="preserve">The Health Insurance Portability and Accountability Act of 1996 ("HIPAA") was amended in 2009 by the Health Information Technology for Economic and Clinical Health Act (the "HITECH Act").  HIPAA and the HITECH Act require that a "covered entity" enter into a business associate agreement ("BAA") with a business associate.  This Checklist discusses which terms must be included in a BAA.  This Checklist also discusses some optional terms which covered entities and business associates may want to consider.  </w:t>
            </w:r>
          </w:p>
        </w:tc>
      </w:tr>
    </w:tbl>
    <w:p w:rsidR="00A97949" w:rsidRPr="003B127D" w:rsidRDefault="00A97949">
      <w:pPr>
        <w:rPr>
          <w:rFonts w:ascii="Arial" w:hAnsi="Arial" w:cs="Arial"/>
          <w:sz w:val="20"/>
          <w:szCs w:val="20"/>
        </w:rPr>
      </w:pPr>
    </w:p>
    <w:tbl>
      <w:tblPr>
        <w:tblStyle w:val="TableGrid"/>
        <w:tblW w:w="9610" w:type="dxa"/>
        <w:tblLook w:val="04A0" w:firstRow="1" w:lastRow="0" w:firstColumn="1" w:lastColumn="0" w:noHBand="0" w:noVBand="1"/>
      </w:tblPr>
      <w:tblGrid>
        <w:gridCol w:w="7244"/>
        <w:gridCol w:w="2366"/>
      </w:tblGrid>
      <w:tr w:rsidR="00224D88" w:rsidRPr="003B127D" w:rsidTr="00397A05">
        <w:trPr>
          <w:trHeight w:val="276"/>
          <w:tblHeader/>
        </w:trPr>
        <w:tc>
          <w:tcPr>
            <w:tcW w:w="7244" w:type="dxa"/>
          </w:tcPr>
          <w:p w:rsidR="00224D88" w:rsidRPr="003B127D" w:rsidRDefault="00224D88">
            <w:pPr>
              <w:rPr>
                <w:rFonts w:ascii="Arial" w:hAnsi="Arial" w:cs="Arial"/>
                <w:sz w:val="20"/>
                <w:szCs w:val="20"/>
              </w:rPr>
            </w:pPr>
            <w:r w:rsidRPr="003B127D">
              <w:rPr>
                <w:rFonts w:ascii="Arial" w:hAnsi="Arial" w:cs="Arial"/>
                <w:b/>
                <w:sz w:val="20"/>
                <w:szCs w:val="20"/>
              </w:rPr>
              <w:t>Mandatory Terms</w:t>
            </w:r>
          </w:p>
        </w:tc>
        <w:tc>
          <w:tcPr>
            <w:tcW w:w="2366" w:type="dxa"/>
          </w:tcPr>
          <w:p w:rsidR="00224D88" w:rsidRPr="003B127D" w:rsidRDefault="00224D88" w:rsidP="00F83328">
            <w:pPr>
              <w:jc w:val="center"/>
              <w:rPr>
                <w:rFonts w:ascii="Arial" w:hAnsi="Arial" w:cs="Arial"/>
                <w:sz w:val="20"/>
                <w:szCs w:val="20"/>
              </w:rPr>
            </w:pPr>
            <w:r w:rsidRPr="003B127D">
              <w:rPr>
                <w:rFonts w:ascii="Arial" w:hAnsi="Arial" w:cs="Arial"/>
                <w:b/>
                <w:sz w:val="20"/>
                <w:szCs w:val="20"/>
              </w:rPr>
              <w:t>Check if Included</w:t>
            </w:r>
            <w:r w:rsidR="00A723EF" w:rsidRPr="003B127D">
              <w:rPr>
                <w:rFonts w:ascii="Arial" w:hAnsi="Arial" w:cs="Arial"/>
                <w:b/>
                <w:sz w:val="20"/>
                <w:szCs w:val="20"/>
              </w:rPr>
              <w:t xml:space="preserve"> / Comments</w:t>
            </w: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  </w:t>
            </w:r>
            <w:r w:rsidRPr="003B127D">
              <w:rPr>
                <w:rFonts w:ascii="Arial" w:hAnsi="Arial" w:cs="Arial"/>
                <w:sz w:val="20"/>
                <w:szCs w:val="20"/>
                <w:u w:val="single"/>
              </w:rPr>
              <w:t>Permitted Uses</w:t>
            </w:r>
            <w:r w:rsidRPr="003B127D">
              <w:rPr>
                <w:rFonts w:ascii="Arial" w:hAnsi="Arial" w:cs="Arial"/>
                <w:sz w:val="20"/>
                <w:szCs w:val="20"/>
              </w:rPr>
              <w:t>.  The BAA must establish the permitted and required uses and disclosures of protected health information ("PHI") by the business associate.</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pStyle w:val="StandardL1"/>
              <w:numPr>
                <w:ilvl w:val="0"/>
                <w:numId w:val="0"/>
              </w:numPr>
              <w:jc w:val="both"/>
              <w:rPr>
                <w:sz w:val="20"/>
              </w:rPr>
            </w:pPr>
            <w:r w:rsidRPr="003B127D">
              <w:rPr>
                <w:sz w:val="20"/>
              </w:rPr>
              <w:t xml:space="preserve">2.  </w:t>
            </w:r>
            <w:r w:rsidRPr="003B127D">
              <w:rPr>
                <w:sz w:val="20"/>
                <w:u w:val="single"/>
              </w:rPr>
              <w:t>Use of PHI by Business Associate</w:t>
            </w:r>
            <w:r w:rsidRPr="003B127D">
              <w:rPr>
                <w:sz w:val="20"/>
              </w:rPr>
              <w:t>.  The BAA may not authorize the business associate to use or further disclose PHI in a manner that would violate the requirements of the Privacy Rule, if done by the covered entity.  However, the BAA may permit:</w:t>
            </w:r>
          </w:p>
          <w:p w:rsidR="00A723EF" w:rsidRPr="003B127D" w:rsidRDefault="00A723EF" w:rsidP="004A3898">
            <w:pPr>
              <w:pStyle w:val="BodyText"/>
              <w:jc w:val="both"/>
              <w:rPr>
                <w:rFonts w:ascii="Arial" w:hAnsi="Arial" w:cs="Arial"/>
                <w:sz w:val="20"/>
                <w:szCs w:val="20"/>
              </w:rPr>
            </w:pPr>
            <w:r w:rsidRPr="003B127D">
              <w:rPr>
                <w:rFonts w:ascii="Arial" w:hAnsi="Arial" w:cs="Arial"/>
                <w:sz w:val="20"/>
                <w:szCs w:val="20"/>
              </w:rPr>
              <w:t>(a)  The business associate to use or disclose PHI for the business associate’s proper management and administration (in limited circumstances); and</w:t>
            </w:r>
          </w:p>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(b)  The business associate to perform data aggregation services relating to a covered entity's health care operation. </w:t>
            </w:r>
          </w:p>
          <w:p w:rsidR="00A723EF" w:rsidRPr="003B127D" w:rsidRDefault="00A723EF" w:rsidP="004A3898">
            <w:pPr>
              <w:jc w:val="both"/>
              <w:rPr>
                <w:rFonts w:ascii="Arial" w:hAnsi="Arial" w:cs="Arial"/>
                <w:sz w:val="20"/>
                <w:szCs w:val="20"/>
              </w:rPr>
            </w:pPr>
          </w:p>
          <w:p w:rsidR="00A723EF" w:rsidRPr="003B127D" w:rsidRDefault="00A723EF" w:rsidP="004A3898">
            <w:pPr>
              <w:jc w:val="both"/>
              <w:rPr>
                <w:rFonts w:ascii="Arial" w:hAnsi="Arial" w:cs="Arial"/>
                <w:sz w:val="20"/>
                <w:szCs w:val="20"/>
              </w:rPr>
            </w:pPr>
            <w:r w:rsidRPr="003B127D">
              <w:rPr>
                <w:rFonts w:ascii="Arial" w:hAnsi="Arial" w:cs="Arial"/>
                <w:sz w:val="20"/>
                <w:szCs w:val="20"/>
              </w:rPr>
              <w:t>In addition, the BAA may allow the business associate to disclose such PHI if:</w:t>
            </w:r>
          </w:p>
          <w:p w:rsidR="00A723EF" w:rsidRPr="003B127D" w:rsidRDefault="00A723EF" w:rsidP="004A3898">
            <w:pPr>
              <w:jc w:val="both"/>
              <w:rPr>
                <w:rFonts w:ascii="Arial" w:hAnsi="Arial" w:cs="Arial"/>
                <w:sz w:val="20"/>
                <w:szCs w:val="20"/>
              </w:rPr>
            </w:pPr>
          </w:p>
          <w:p w:rsidR="00A723EF" w:rsidRPr="003B127D" w:rsidRDefault="00A723EF" w:rsidP="004A3898">
            <w:pPr>
              <w:jc w:val="both"/>
              <w:rPr>
                <w:rFonts w:ascii="Arial" w:hAnsi="Arial" w:cs="Arial"/>
                <w:sz w:val="20"/>
                <w:szCs w:val="20"/>
              </w:rPr>
            </w:pPr>
            <w:r w:rsidRPr="003B127D">
              <w:rPr>
                <w:rFonts w:ascii="Arial" w:hAnsi="Arial" w:cs="Arial"/>
                <w:sz w:val="20"/>
                <w:szCs w:val="20"/>
              </w:rPr>
              <w:t>(y) the disclosure is required by law; or</w:t>
            </w:r>
          </w:p>
          <w:p w:rsidR="00A723EF" w:rsidRPr="003B127D" w:rsidRDefault="00A723EF" w:rsidP="004A3898">
            <w:pPr>
              <w:jc w:val="both"/>
              <w:rPr>
                <w:rFonts w:ascii="Arial" w:hAnsi="Arial" w:cs="Arial"/>
                <w:sz w:val="20"/>
                <w:szCs w:val="20"/>
              </w:rPr>
            </w:pPr>
          </w:p>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(z) (i) the business associate obtains reasonable assurance from any person or entity to which the business associate will disclose the PHI that the person or entity will hold the PHI in confidence and use or further disclose PHI only for the purpose for which the business associate disclosed the PHI or as required by law; and </w:t>
            </w:r>
          </w:p>
          <w:p w:rsidR="00A723EF" w:rsidRPr="003B127D" w:rsidRDefault="00A723EF" w:rsidP="004A3898">
            <w:pPr>
              <w:jc w:val="both"/>
              <w:rPr>
                <w:rFonts w:ascii="Arial" w:hAnsi="Arial" w:cs="Arial"/>
                <w:sz w:val="20"/>
                <w:szCs w:val="20"/>
              </w:rPr>
            </w:pPr>
          </w:p>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(ii) </w:t>
            </w:r>
            <w:proofErr w:type="gramStart"/>
            <w:r w:rsidRPr="003B127D">
              <w:rPr>
                <w:rFonts w:ascii="Arial" w:hAnsi="Arial" w:cs="Arial"/>
                <w:sz w:val="20"/>
                <w:szCs w:val="20"/>
              </w:rPr>
              <w:t>the</w:t>
            </w:r>
            <w:proofErr w:type="gramEnd"/>
            <w:r w:rsidRPr="003B127D">
              <w:rPr>
                <w:rFonts w:ascii="Arial" w:hAnsi="Arial" w:cs="Arial"/>
                <w:sz w:val="20"/>
                <w:szCs w:val="20"/>
              </w:rPr>
              <w:t xml:space="preserve"> person notifies the business associate of any instances of which it is aware in which the confidentiality of the PHI has been breached.</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3.  </w:t>
            </w:r>
            <w:r w:rsidRPr="003B127D">
              <w:rPr>
                <w:rFonts w:ascii="Arial" w:hAnsi="Arial" w:cs="Arial"/>
                <w:sz w:val="20"/>
                <w:szCs w:val="20"/>
                <w:u w:val="single"/>
              </w:rPr>
              <w:t>Follow BAA and HIPAA</w:t>
            </w:r>
            <w:r w:rsidRPr="003B127D">
              <w:rPr>
                <w:rFonts w:ascii="Arial" w:hAnsi="Arial" w:cs="Arial"/>
                <w:sz w:val="20"/>
                <w:szCs w:val="20"/>
              </w:rPr>
              <w:t>.  The business associate will not use or further disclose the information other than as permitted or required by the BAA or as required by law.</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4.  </w:t>
            </w:r>
            <w:r w:rsidRPr="003B127D">
              <w:rPr>
                <w:rFonts w:ascii="Arial" w:hAnsi="Arial" w:cs="Arial"/>
                <w:sz w:val="20"/>
                <w:szCs w:val="20"/>
                <w:u w:val="single"/>
              </w:rPr>
              <w:t>Safeguards of PHI</w:t>
            </w:r>
            <w:r w:rsidRPr="003B127D">
              <w:rPr>
                <w:rFonts w:ascii="Arial" w:hAnsi="Arial" w:cs="Arial"/>
                <w:sz w:val="20"/>
                <w:szCs w:val="20"/>
              </w:rPr>
              <w:t>.  The business associate must use appropriate safeguards to prevent use or disclosure of PHI other than as provided for by the BAA.</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cantSplit/>
          <w:trHeight w:val="276"/>
        </w:trPr>
        <w:tc>
          <w:tcPr>
            <w:tcW w:w="7244" w:type="dxa"/>
          </w:tcPr>
          <w:p w:rsidR="00A723EF" w:rsidRPr="003B127D" w:rsidRDefault="00A723EF" w:rsidP="003243D6">
            <w:pPr>
              <w:jc w:val="both"/>
              <w:rPr>
                <w:rFonts w:ascii="Arial" w:hAnsi="Arial" w:cs="Arial"/>
                <w:sz w:val="20"/>
                <w:szCs w:val="20"/>
              </w:rPr>
            </w:pPr>
            <w:r w:rsidRPr="003B127D">
              <w:rPr>
                <w:rFonts w:ascii="Arial" w:hAnsi="Arial" w:cs="Arial"/>
                <w:sz w:val="20"/>
                <w:szCs w:val="20"/>
              </w:rPr>
              <w:t xml:space="preserve">5.  </w:t>
            </w:r>
            <w:r w:rsidR="003243D6">
              <w:rPr>
                <w:rFonts w:ascii="Arial" w:hAnsi="Arial" w:cs="Arial"/>
                <w:sz w:val="20"/>
                <w:szCs w:val="20"/>
                <w:u w:val="single"/>
              </w:rPr>
              <w:t>Comply with HIPAA Security</w:t>
            </w:r>
            <w:r w:rsidRPr="003B127D">
              <w:rPr>
                <w:rFonts w:ascii="Arial" w:hAnsi="Arial" w:cs="Arial"/>
                <w:sz w:val="20"/>
                <w:szCs w:val="20"/>
              </w:rPr>
              <w:t xml:space="preserve">.  The business associate must </w:t>
            </w:r>
            <w:r w:rsidR="003243D6">
              <w:rPr>
                <w:rFonts w:ascii="Arial" w:hAnsi="Arial" w:cs="Arial"/>
                <w:sz w:val="20"/>
                <w:szCs w:val="20"/>
              </w:rPr>
              <w:t>comply with the applicabl</w:t>
            </w:r>
            <w:r w:rsidR="00B82862">
              <w:rPr>
                <w:rFonts w:ascii="Arial" w:hAnsi="Arial" w:cs="Arial"/>
                <w:sz w:val="20"/>
                <w:szCs w:val="20"/>
              </w:rPr>
              <w:t>e requirements of the Security R</w:t>
            </w:r>
            <w:r w:rsidR="003243D6">
              <w:rPr>
                <w:rFonts w:ascii="Arial" w:hAnsi="Arial" w:cs="Arial"/>
                <w:sz w:val="20"/>
                <w:szCs w:val="20"/>
              </w:rPr>
              <w:t>ule, 45 CFR Part 164, Subpart C, including using appropriate safeguards for electronic PHI ("</w:t>
            </w:r>
            <w:r w:rsidR="00B82862">
              <w:rPr>
                <w:rFonts w:ascii="Arial" w:hAnsi="Arial" w:cs="Arial"/>
                <w:sz w:val="20"/>
                <w:szCs w:val="20"/>
              </w:rPr>
              <w:t>e</w:t>
            </w:r>
            <w:r w:rsidR="003243D6">
              <w:rPr>
                <w:rFonts w:ascii="Arial" w:hAnsi="Arial" w:cs="Arial"/>
                <w:sz w:val="20"/>
                <w:szCs w:val="20"/>
              </w:rPr>
              <w:t>PHI")</w:t>
            </w:r>
            <w:r w:rsidRPr="003B127D">
              <w:rPr>
                <w:rFonts w:ascii="Arial" w:hAnsi="Arial" w:cs="Arial"/>
                <w:sz w:val="20"/>
                <w:szCs w:val="20"/>
              </w:rPr>
              <w:t>.</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6.  </w:t>
            </w:r>
            <w:r w:rsidRPr="003B127D">
              <w:rPr>
                <w:rFonts w:ascii="Arial" w:hAnsi="Arial" w:cs="Arial"/>
                <w:sz w:val="20"/>
                <w:szCs w:val="20"/>
                <w:u w:val="single"/>
              </w:rPr>
              <w:t>Reporting Improper Use or Disclosure</w:t>
            </w:r>
            <w:r w:rsidRPr="003B127D">
              <w:rPr>
                <w:rFonts w:ascii="Arial" w:hAnsi="Arial" w:cs="Arial"/>
                <w:sz w:val="20"/>
                <w:szCs w:val="20"/>
              </w:rPr>
              <w:t>.  The business associate must report to the covered entity any use or disclosure of PHI not provided for by the BAA of which it becomes aware.</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7.  </w:t>
            </w:r>
            <w:r w:rsidRPr="003B127D">
              <w:rPr>
                <w:rFonts w:ascii="Arial" w:hAnsi="Arial" w:cs="Arial"/>
                <w:sz w:val="20"/>
                <w:szCs w:val="20"/>
                <w:u w:val="single"/>
              </w:rPr>
              <w:t>Report Security Incidents</w:t>
            </w:r>
            <w:r w:rsidRPr="003B127D">
              <w:rPr>
                <w:rFonts w:ascii="Arial" w:hAnsi="Arial" w:cs="Arial"/>
                <w:sz w:val="20"/>
                <w:szCs w:val="20"/>
              </w:rPr>
              <w:t>.  The business associate must report to the covered entity any security incident of which it becomes aware.</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lastRenderedPageBreak/>
              <w:t xml:space="preserve">8.  </w:t>
            </w:r>
            <w:r w:rsidRPr="003B127D">
              <w:rPr>
                <w:rFonts w:ascii="Arial" w:hAnsi="Arial" w:cs="Arial"/>
                <w:sz w:val="20"/>
                <w:szCs w:val="20"/>
                <w:u w:val="single"/>
              </w:rPr>
              <w:t>Mitigation</w:t>
            </w:r>
            <w:r w:rsidRPr="003B127D">
              <w:rPr>
                <w:rFonts w:ascii="Arial" w:hAnsi="Arial" w:cs="Arial"/>
                <w:sz w:val="20"/>
                <w:szCs w:val="20"/>
              </w:rPr>
              <w:t>.  The business associate must mitigate, to the extent practicable, any harmful effect that is known to the business associate of a use or disclosure of PHI by the business associate in violation of the requirements of the BAA.</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3243D6">
            <w:pPr>
              <w:jc w:val="both"/>
              <w:rPr>
                <w:rFonts w:ascii="Arial" w:hAnsi="Arial" w:cs="Arial"/>
                <w:sz w:val="20"/>
                <w:szCs w:val="20"/>
              </w:rPr>
            </w:pPr>
            <w:r w:rsidRPr="003B127D">
              <w:rPr>
                <w:rFonts w:ascii="Arial" w:hAnsi="Arial" w:cs="Arial"/>
                <w:sz w:val="20"/>
                <w:szCs w:val="20"/>
              </w:rPr>
              <w:t xml:space="preserve">9.  </w:t>
            </w:r>
            <w:r w:rsidRPr="003B127D">
              <w:rPr>
                <w:rFonts w:ascii="Arial" w:hAnsi="Arial" w:cs="Arial"/>
                <w:sz w:val="20"/>
                <w:szCs w:val="20"/>
                <w:u w:val="single"/>
              </w:rPr>
              <w:t>Restrictions on Subcontractors</w:t>
            </w:r>
            <w:r w:rsidRPr="003B127D">
              <w:rPr>
                <w:rFonts w:ascii="Arial" w:hAnsi="Arial" w:cs="Arial"/>
                <w:sz w:val="20"/>
                <w:szCs w:val="20"/>
              </w:rPr>
              <w:t>.  The business associate must ensure that any subcontractor, to whom the business associate provides PHI received from, or created or received by, the business associate on behalf of the covered entity agrees to the same restrictions and conditions that apply to the business associate with respect to such information.</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3243D6">
            <w:pPr>
              <w:jc w:val="both"/>
              <w:rPr>
                <w:rFonts w:ascii="Arial" w:hAnsi="Arial" w:cs="Arial"/>
                <w:sz w:val="20"/>
                <w:szCs w:val="20"/>
              </w:rPr>
            </w:pPr>
            <w:r w:rsidRPr="003B127D">
              <w:rPr>
                <w:rFonts w:ascii="Arial" w:hAnsi="Arial" w:cs="Arial"/>
                <w:sz w:val="20"/>
                <w:szCs w:val="20"/>
              </w:rPr>
              <w:t xml:space="preserve">10.  </w:t>
            </w:r>
            <w:r w:rsidRPr="003B127D">
              <w:rPr>
                <w:rFonts w:ascii="Arial" w:hAnsi="Arial" w:cs="Arial"/>
                <w:sz w:val="20"/>
                <w:szCs w:val="20"/>
                <w:u w:val="single"/>
              </w:rPr>
              <w:t>Safeguards of Subcontractors</w:t>
            </w:r>
            <w:r w:rsidRPr="003B127D">
              <w:rPr>
                <w:rFonts w:ascii="Arial" w:hAnsi="Arial" w:cs="Arial"/>
                <w:sz w:val="20"/>
                <w:szCs w:val="20"/>
              </w:rPr>
              <w:t xml:space="preserve">.  The business associate must ensure that any subcontractor, to whom the business associate provides </w:t>
            </w:r>
            <w:proofErr w:type="gramStart"/>
            <w:r w:rsidRPr="003B127D">
              <w:rPr>
                <w:rFonts w:ascii="Arial" w:hAnsi="Arial" w:cs="Arial"/>
                <w:sz w:val="20"/>
                <w:szCs w:val="20"/>
              </w:rPr>
              <w:t>ePHI</w:t>
            </w:r>
            <w:proofErr w:type="gramEnd"/>
            <w:r w:rsidRPr="003B127D">
              <w:rPr>
                <w:rFonts w:ascii="Arial" w:hAnsi="Arial" w:cs="Arial"/>
                <w:sz w:val="20"/>
                <w:szCs w:val="20"/>
              </w:rPr>
              <w:t xml:space="preserve"> agrees to implement reasonable and appropriate safeguards to protect such ePHI.</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11.  </w:t>
            </w:r>
            <w:r w:rsidRPr="003B127D">
              <w:rPr>
                <w:rFonts w:ascii="Arial" w:hAnsi="Arial" w:cs="Arial"/>
                <w:sz w:val="20"/>
                <w:szCs w:val="20"/>
                <w:u w:val="single"/>
              </w:rPr>
              <w:t>Access Rights</w:t>
            </w:r>
            <w:r w:rsidRPr="003B127D">
              <w:rPr>
                <w:rFonts w:ascii="Arial" w:hAnsi="Arial" w:cs="Arial"/>
                <w:sz w:val="20"/>
                <w:szCs w:val="20"/>
              </w:rPr>
              <w:t>.  The business associate must make available PHI in accordance with an individual’s access rights under 45 C.F.R. § 164.524 and the HITECH Act.</w:t>
            </w:r>
            <w:r w:rsidR="003243D6">
              <w:rPr>
                <w:rFonts w:ascii="Arial" w:hAnsi="Arial" w:cs="Arial"/>
                <w:sz w:val="20"/>
                <w:szCs w:val="20"/>
              </w:rPr>
              <w:t xml:space="preserve">  The BAA should require that copies be available in electronic form.</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12.  </w:t>
            </w:r>
            <w:r w:rsidRPr="003B127D">
              <w:rPr>
                <w:rFonts w:ascii="Arial" w:hAnsi="Arial" w:cs="Arial"/>
                <w:sz w:val="20"/>
                <w:szCs w:val="20"/>
                <w:u w:val="single"/>
              </w:rPr>
              <w:t>Disclosure Accounting</w:t>
            </w:r>
            <w:r w:rsidRPr="003B127D">
              <w:rPr>
                <w:rFonts w:ascii="Arial" w:hAnsi="Arial" w:cs="Arial"/>
                <w:sz w:val="20"/>
                <w:szCs w:val="20"/>
              </w:rPr>
              <w:t xml:space="preserve">.  The business associate must make available the information required to provide an accounting of the disclosures in accordance with 45 CFR § 164.528 and the HITECH Act. </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cantSplit/>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13.  </w:t>
            </w:r>
            <w:r w:rsidRPr="003B127D">
              <w:rPr>
                <w:rFonts w:ascii="Arial" w:hAnsi="Arial" w:cs="Arial"/>
                <w:sz w:val="20"/>
                <w:szCs w:val="20"/>
                <w:u w:val="single"/>
              </w:rPr>
              <w:t>Make Records Available</w:t>
            </w:r>
            <w:r w:rsidRPr="003B127D">
              <w:rPr>
                <w:rFonts w:ascii="Arial" w:hAnsi="Arial" w:cs="Arial"/>
                <w:sz w:val="20"/>
                <w:szCs w:val="20"/>
              </w:rPr>
              <w:t>.  The business associate must make its internal practices, books, and records relating to the use and disclosure of PHI received from, or created or received by, the business associate, on behalf of the covered entity, available to the Secretary of the Department of Health and Human Services for purposes of determining the covered entity's compliance with HIPAA.</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cantSplit/>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14.  </w:t>
            </w:r>
            <w:r w:rsidRPr="003B127D">
              <w:rPr>
                <w:rFonts w:ascii="Arial" w:hAnsi="Arial" w:cs="Arial"/>
                <w:sz w:val="20"/>
                <w:szCs w:val="20"/>
                <w:u w:val="single"/>
              </w:rPr>
              <w:t>Return or Destroy PHI</w:t>
            </w:r>
            <w:r w:rsidRPr="003B127D">
              <w:rPr>
                <w:rFonts w:ascii="Arial" w:hAnsi="Arial" w:cs="Arial"/>
                <w:sz w:val="20"/>
                <w:szCs w:val="20"/>
              </w:rPr>
              <w:t>.  The business associate must, upon termination of the BAA, return or destroy the PHI it received pursuant to the agreement, if feasible. For PHI which Business Associate cannot feasibly return or destroy, Business Associate must promise to continue to safeguard the PHI and use or disclose it only for the reasons that make return or destruction infeasible.</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15.  </w:t>
            </w:r>
            <w:r w:rsidRPr="003B127D">
              <w:rPr>
                <w:rFonts w:ascii="Arial" w:hAnsi="Arial" w:cs="Arial"/>
                <w:sz w:val="20"/>
                <w:szCs w:val="20"/>
                <w:u w:val="single"/>
              </w:rPr>
              <w:t>Report Breach</w:t>
            </w:r>
            <w:r w:rsidRPr="003B127D">
              <w:rPr>
                <w:rFonts w:ascii="Arial" w:hAnsi="Arial" w:cs="Arial"/>
                <w:sz w:val="20"/>
                <w:szCs w:val="20"/>
              </w:rPr>
              <w:t>.  The business associate must report to the covered entity any breach of unsecured PHI in accordance with 45 C.F.R. Part 164 Subpart D.</w:t>
            </w:r>
            <w:r w:rsidR="003243D6">
              <w:rPr>
                <w:rFonts w:ascii="Arial" w:hAnsi="Arial" w:cs="Arial"/>
                <w:sz w:val="20"/>
                <w:szCs w:val="20"/>
              </w:rPr>
              <w:t xml:space="preserve">  The business associate likely should include a copy of its risk assessment demonstrating why it was or was not a breach.</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16.  </w:t>
            </w:r>
            <w:r w:rsidRPr="003B127D">
              <w:rPr>
                <w:rFonts w:ascii="Arial" w:hAnsi="Arial" w:cs="Arial"/>
                <w:sz w:val="20"/>
                <w:szCs w:val="20"/>
                <w:u w:val="single"/>
              </w:rPr>
              <w:t>No Remuneration</w:t>
            </w:r>
            <w:r w:rsidRPr="003B127D">
              <w:rPr>
                <w:rFonts w:ascii="Arial" w:hAnsi="Arial" w:cs="Arial"/>
                <w:sz w:val="20"/>
                <w:szCs w:val="20"/>
              </w:rPr>
              <w:t>.  The business associate must not directly or indirectly receive remuneration in exchange for any PHI of an individual.</w:t>
            </w:r>
          </w:p>
          <w:p w:rsidR="00A723EF" w:rsidRPr="003B127D" w:rsidRDefault="00A723EF" w:rsidP="004A3898">
            <w:pPr>
              <w:jc w:val="both"/>
              <w:rPr>
                <w:rFonts w:ascii="Arial" w:hAnsi="Arial" w:cs="Arial"/>
                <w:sz w:val="20"/>
                <w:szCs w:val="20"/>
              </w:rPr>
            </w:pPr>
          </w:p>
          <w:p w:rsidR="00A723EF" w:rsidRPr="003B127D" w:rsidRDefault="00A723EF" w:rsidP="004A3898">
            <w:pPr>
              <w:jc w:val="both"/>
              <w:rPr>
                <w:rFonts w:ascii="Arial" w:hAnsi="Arial" w:cs="Arial"/>
                <w:sz w:val="20"/>
                <w:szCs w:val="20"/>
              </w:rPr>
            </w:pPr>
            <w:r w:rsidRPr="003B127D">
              <w:rPr>
                <w:rFonts w:ascii="Arial" w:hAnsi="Arial" w:cs="Arial"/>
                <w:sz w:val="20"/>
                <w:szCs w:val="20"/>
              </w:rPr>
              <w:t>Note: Technically remuneration would be possible with an authorization and satisfaction of some additional terms.  However, this is not detailed here as this would presumably be rare (many covered entities may not allow it, even if allowed by law).</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cantSplit/>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17.  </w:t>
            </w:r>
            <w:r w:rsidRPr="003B127D">
              <w:rPr>
                <w:rFonts w:ascii="Arial" w:hAnsi="Arial" w:cs="Arial"/>
                <w:sz w:val="20"/>
                <w:szCs w:val="20"/>
                <w:u w:val="single"/>
              </w:rPr>
              <w:t>Termination Upon Violation</w:t>
            </w:r>
            <w:r w:rsidRPr="003B127D">
              <w:rPr>
                <w:rFonts w:ascii="Arial" w:hAnsi="Arial" w:cs="Arial"/>
                <w:sz w:val="20"/>
                <w:szCs w:val="20"/>
              </w:rPr>
              <w:t>.  The business associate must permit the covered entity to terminate the BAA in case of material violation of a privacy or security provision of the BAA.</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18.  </w:t>
            </w:r>
            <w:r w:rsidR="003243D6">
              <w:rPr>
                <w:rFonts w:ascii="Arial" w:hAnsi="Arial" w:cs="Arial"/>
                <w:sz w:val="20"/>
                <w:szCs w:val="20"/>
                <w:u w:val="single"/>
              </w:rPr>
              <w:t>Standard Transactions</w:t>
            </w:r>
            <w:r w:rsidRPr="003B127D">
              <w:rPr>
                <w:rFonts w:ascii="Arial" w:hAnsi="Arial" w:cs="Arial"/>
                <w:sz w:val="20"/>
                <w:szCs w:val="20"/>
              </w:rPr>
              <w:t>.  The business associate must comply with the Administrative Requirements of 45 C.F.R. Part 162 when acting on behalf of the covered entity.  These requirements include, but are not limited to:</w:t>
            </w:r>
          </w:p>
          <w:p w:rsidR="00A723EF" w:rsidRPr="003B127D" w:rsidRDefault="00A723EF" w:rsidP="004A3898">
            <w:pPr>
              <w:pStyle w:val="ListParagraph"/>
              <w:numPr>
                <w:ilvl w:val="0"/>
                <w:numId w:val="12"/>
              </w:numPr>
              <w:jc w:val="both"/>
              <w:rPr>
                <w:rFonts w:ascii="Arial" w:hAnsi="Arial" w:cs="Arial"/>
                <w:sz w:val="20"/>
                <w:szCs w:val="20"/>
              </w:rPr>
            </w:pPr>
            <w:r w:rsidRPr="003B127D">
              <w:rPr>
                <w:rFonts w:ascii="Arial" w:hAnsi="Arial" w:cs="Arial"/>
                <w:sz w:val="20"/>
                <w:szCs w:val="20"/>
              </w:rPr>
              <w:t xml:space="preserve">The business associate must comply with the Electronic Standard Transaction rules when the </w:t>
            </w:r>
            <w:r w:rsidR="005841E7" w:rsidRPr="003B127D">
              <w:rPr>
                <w:rFonts w:ascii="Arial" w:hAnsi="Arial" w:cs="Arial"/>
                <w:sz w:val="20"/>
                <w:szCs w:val="20"/>
              </w:rPr>
              <w:t>b</w:t>
            </w:r>
            <w:r w:rsidRPr="003B127D">
              <w:rPr>
                <w:rFonts w:ascii="Arial" w:hAnsi="Arial" w:cs="Arial"/>
                <w:sz w:val="20"/>
                <w:szCs w:val="20"/>
              </w:rPr>
              <w:t xml:space="preserve">usiness </w:t>
            </w:r>
            <w:r w:rsidR="005841E7" w:rsidRPr="003B127D">
              <w:rPr>
                <w:rFonts w:ascii="Arial" w:hAnsi="Arial" w:cs="Arial"/>
                <w:sz w:val="20"/>
                <w:szCs w:val="20"/>
              </w:rPr>
              <w:t>a</w:t>
            </w:r>
            <w:r w:rsidRPr="003B127D">
              <w:rPr>
                <w:rFonts w:ascii="Arial" w:hAnsi="Arial" w:cs="Arial"/>
                <w:sz w:val="20"/>
                <w:szCs w:val="20"/>
              </w:rPr>
              <w:t>ssociate conducts a Transaction described in 45 C.F.R. Part 162;</w:t>
            </w:r>
          </w:p>
          <w:p w:rsidR="00A723EF" w:rsidRPr="003B127D" w:rsidRDefault="00A723EF" w:rsidP="004A3898">
            <w:pPr>
              <w:pStyle w:val="ListParagraph"/>
              <w:numPr>
                <w:ilvl w:val="0"/>
                <w:numId w:val="12"/>
              </w:numPr>
              <w:jc w:val="both"/>
              <w:rPr>
                <w:rFonts w:ascii="Arial" w:hAnsi="Arial" w:cs="Arial"/>
                <w:sz w:val="20"/>
                <w:szCs w:val="20"/>
              </w:rPr>
            </w:pPr>
            <w:r w:rsidRPr="003B127D">
              <w:rPr>
                <w:rFonts w:ascii="Arial" w:hAnsi="Arial" w:cs="Arial"/>
                <w:sz w:val="20"/>
                <w:szCs w:val="20"/>
              </w:rPr>
              <w:t xml:space="preserve">The business associate must not enter into a trading partner agreement on behalf of the covered entity that would violate 45 C.F.R. </w:t>
            </w:r>
            <w:r w:rsidRPr="003B127D">
              <w:rPr>
                <w:rFonts w:ascii="Arial" w:hAnsi="Arial" w:cs="Arial"/>
                <w:sz w:val="20"/>
                <w:szCs w:val="20"/>
              </w:rPr>
              <w:lastRenderedPageBreak/>
              <w:t>§162.915;</w:t>
            </w:r>
          </w:p>
          <w:p w:rsidR="00A723EF" w:rsidRPr="003B127D" w:rsidRDefault="00A723EF" w:rsidP="004A3898">
            <w:pPr>
              <w:pStyle w:val="ListParagraph"/>
              <w:numPr>
                <w:ilvl w:val="0"/>
                <w:numId w:val="12"/>
              </w:numPr>
              <w:jc w:val="both"/>
              <w:rPr>
                <w:rFonts w:ascii="Arial" w:hAnsi="Arial" w:cs="Arial"/>
                <w:sz w:val="20"/>
                <w:szCs w:val="20"/>
              </w:rPr>
            </w:pPr>
            <w:r w:rsidRPr="003B127D">
              <w:rPr>
                <w:rFonts w:ascii="Arial" w:hAnsi="Arial" w:cs="Arial"/>
                <w:sz w:val="20"/>
                <w:szCs w:val="20"/>
              </w:rPr>
              <w:t>The business associate must comply with the National Provider Identification requirements contained in 45 C.F.R. §162.412;</w:t>
            </w:r>
          </w:p>
          <w:p w:rsidR="00A723EF" w:rsidRPr="003B127D" w:rsidRDefault="00A723EF" w:rsidP="004A3898">
            <w:pPr>
              <w:pStyle w:val="ListParagraph"/>
              <w:numPr>
                <w:ilvl w:val="0"/>
                <w:numId w:val="12"/>
              </w:numPr>
              <w:jc w:val="both"/>
              <w:rPr>
                <w:rFonts w:ascii="Arial" w:hAnsi="Arial" w:cs="Arial"/>
                <w:sz w:val="20"/>
                <w:szCs w:val="20"/>
              </w:rPr>
            </w:pPr>
            <w:r w:rsidRPr="003B127D">
              <w:rPr>
                <w:rFonts w:ascii="Arial" w:hAnsi="Arial" w:cs="Arial"/>
                <w:sz w:val="20"/>
                <w:szCs w:val="20"/>
              </w:rPr>
              <w:t>The business associate must comply with all operating rules that apply to the covered entity, including but not limited to 45 C.F.R. §162.1403.</w:t>
            </w:r>
          </w:p>
          <w:p w:rsidR="00A723EF" w:rsidRPr="003B127D" w:rsidRDefault="00A723EF" w:rsidP="004A3898">
            <w:pPr>
              <w:pStyle w:val="ListParagraph"/>
              <w:ind w:left="766"/>
              <w:jc w:val="both"/>
              <w:rPr>
                <w:rFonts w:ascii="Arial" w:hAnsi="Arial" w:cs="Arial"/>
                <w:sz w:val="20"/>
                <w:szCs w:val="20"/>
              </w:rPr>
            </w:pPr>
          </w:p>
          <w:p w:rsidR="00A723EF" w:rsidRPr="003B127D" w:rsidRDefault="00A723EF" w:rsidP="004A3898">
            <w:pPr>
              <w:jc w:val="both"/>
              <w:rPr>
                <w:rFonts w:ascii="Arial" w:hAnsi="Arial" w:cs="Arial"/>
                <w:sz w:val="20"/>
                <w:szCs w:val="20"/>
              </w:rPr>
            </w:pPr>
            <w:r w:rsidRPr="003B127D">
              <w:rPr>
                <w:rFonts w:ascii="Arial" w:hAnsi="Arial" w:cs="Arial"/>
                <w:sz w:val="20"/>
                <w:szCs w:val="20"/>
              </w:rPr>
              <w:t>Note that these provisions may not be required to be included in the BAA if the business associate will never engage in such transactions.  However, the covered entity likely cannot know with certainty whether this would always be true in the future.  Thus, the terms likely should be included in the BAA.</w:t>
            </w:r>
          </w:p>
        </w:tc>
        <w:tc>
          <w:tcPr>
            <w:tcW w:w="2366" w:type="dxa"/>
          </w:tcPr>
          <w:p w:rsidR="00A723EF" w:rsidRPr="003B127D" w:rsidRDefault="00A723EF" w:rsidP="00EC74C5">
            <w:pPr>
              <w:rPr>
                <w:rFonts w:ascii="Arial" w:hAnsi="Arial" w:cs="Arial"/>
                <w:sz w:val="20"/>
                <w:szCs w:val="20"/>
              </w:rPr>
            </w:pPr>
            <w:r w:rsidRPr="003B127D">
              <w:rPr>
                <w:rFonts w:ascii="Arial" w:hAnsi="Arial" w:cs="Arial"/>
                <w:sz w:val="20"/>
                <w:szCs w:val="20"/>
              </w:rPr>
              <w:lastRenderedPageBreak/>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lastRenderedPageBreak/>
              <w:t xml:space="preserve">19.  </w:t>
            </w:r>
            <w:r w:rsidRPr="003B127D">
              <w:rPr>
                <w:rFonts w:ascii="Arial" w:hAnsi="Arial" w:cs="Arial"/>
                <w:sz w:val="20"/>
                <w:szCs w:val="20"/>
                <w:u w:val="single"/>
              </w:rPr>
              <w:t>Minimum Necessary</w:t>
            </w:r>
            <w:r w:rsidRPr="003B127D">
              <w:rPr>
                <w:rFonts w:ascii="Arial" w:hAnsi="Arial" w:cs="Arial"/>
                <w:sz w:val="20"/>
                <w:szCs w:val="20"/>
              </w:rPr>
              <w:t>.  The business associate must comply with the "minimum necessary" rules (including the requirement that the business associate limit the information to a "limited data set" to the extent practicable) when using, disclosing or requesting PHI, except when a specific exception applies under HIPAA or the HITECH Act.</w:t>
            </w:r>
          </w:p>
        </w:tc>
        <w:tc>
          <w:tcPr>
            <w:tcW w:w="2366"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4A3898">
            <w:pPr>
              <w:jc w:val="both"/>
              <w:rPr>
                <w:rFonts w:ascii="Arial" w:hAnsi="Arial" w:cs="Arial"/>
                <w:sz w:val="20"/>
                <w:szCs w:val="20"/>
              </w:rPr>
            </w:pPr>
            <w:r w:rsidRPr="003B127D">
              <w:rPr>
                <w:rFonts w:ascii="Arial" w:hAnsi="Arial" w:cs="Arial"/>
                <w:sz w:val="20"/>
                <w:szCs w:val="20"/>
              </w:rPr>
              <w:t>_________________</w:t>
            </w:r>
          </w:p>
          <w:p w:rsidR="00A723EF" w:rsidRPr="003B127D" w:rsidRDefault="00A723EF" w:rsidP="004A3898">
            <w:pPr>
              <w:jc w:val="both"/>
              <w:rPr>
                <w:rFonts w:ascii="Arial" w:hAnsi="Arial" w:cs="Arial"/>
                <w:sz w:val="20"/>
                <w:szCs w:val="20"/>
              </w:rPr>
            </w:pPr>
            <w:r w:rsidRPr="003B127D">
              <w:rPr>
                <w:rFonts w:ascii="Arial" w:hAnsi="Arial" w:cs="Arial"/>
                <w:sz w:val="20"/>
                <w:szCs w:val="20"/>
              </w:rPr>
              <w:t>_________________</w:t>
            </w:r>
          </w:p>
          <w:p w:rsidR="00A723EF" w:rsidRPr="003B127D" w:rsidRDefault="00A723EF" w:rsidP="004A3898">
            <w:pPr>
              <w:jc w:val="both"/>
              <w:rPr>
                <w:rFonts w:ascii="Arial" w:hAnsi="Arial" w:cs="Arial"/>
                <w:sz w:val="20"/>
                <w:szCs w:val="20"/>
              </w:rPr>
            </w:pPr>
          </w:p>
        </w:tc>
      </w:tr>
      <w:tr w:rsidR="00A723EF" w:rsidRPr="003B127D" w:rsidTr="00397A05">
        <w:trPr>
          <w:trHeight w:val="276"/>
        </w:trPr>
        <w:tc>
          <w:tcPr>
            <w:tcW w:w="7244"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20.  </w:t>
            </w:r>
            <w:r w:rsidRPr="003B127D">
              <w:rPr>
                <w:rFonts w:ascii="Arial" w:hAnsi="Arial" w:cs="Arial"/>
                <w:sz w:val="20"/>
                <w:szCs w:val="20"/>
                <w:u w:val="single"/>
              </w:rPr>
              <w:t>Amendment of PHI</w:t>
            </w:r>
            <w:r w:rsidRPr="003B127D">
              <w:rPr>
                <w:rFonts w:ascii="Arial" w:hAnsi="Arial" w:cs="Arial"/>
                <w:sz w:val="20"/>
                <w:szCs w:val="20"/>
              </w:rPr>
              <w:t>.  The business associate must make available PHI for amendment and incorporate any amendments to PHI in accordance with 45 C.F.R. §162.526.</w:t>
            </w:r>
          </w:p>
        </w:tc>
        <w:tc>
          <w:tcPr>
            <w:tcW w:w="2366"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4A3898">
            <w:pPr>
              <w:jc w:val="both"/>
              <w:rPr>
                <w:rFonts w:ascii="Arial" w:hAnsi="Arial" w:cs="Arial"/>
                <w:sz w:val="20"/>
                <w:szCs w:val="20"/>
              </w:rPr>
            </w:pPr>
            <w:r w:rsidRPr="003B127D">
              <w:rPr>
                <w:rFonts w:ascii="Arial" w:hAnsi="Arial" w:cs="Arial"/>
                <w:sz w:val="20"/>
                <w:szCs w:val="20"/>
              </w:rPr>
              <w:t>_________________</w:t>
            </w:r>
          </w:p>
          <w:p w:rsidR="00A723EF" w:rsidRPr="003B127D" w:rsidRDefault="00A723EF" w:rsidP="004A3898">
            <w:pPr>
              <w:jc w:val="both"/>
              <w:rPr>
                <w:rFonts w:ascii="Arial" w:hAnsi="Arial" w:cs="Arial"/>
                <w:sz w:val="20"/>
                <w:szCs w:val="20"/>
              </w:rPr>
            </w:pPr>
            <w:r w:rsidRPr="003B127D">
              <w:rPr>
                <w:rFonts w:ascii="Arial" w:hAnsi="Arial" w:cs="Arial"/>
                <w:sz w:val="20"/>
                <w:szCs w:val="20"/>
              </w:rPr>
              <w:t>_________________</w:t>
            </w:r>
          </w:p>
          <w:p w:rsidR="00A723EF" w:rsidRPr="003B127D" w:rsidRDefault="00A723EF" w:rsidP="004A3898">
            <w:pPr>
              <w:jc w:val="both"/>
              <w:rPr>
                <w:rFonts w:ascii="Arial" w:hAnsi="Arial" w:cs="Arial"/>
                <w:sz w:val="20"/>
                <w:szCs w:val="20"/>
              </w:rPr>
            </w:pPr>
          </w:p>
        </w:tc>
      </w:tr>
      <w:tr w:rsidR="00B82862" w:rsidRPr="003B127D" w:rsidTr="00397A05">
        <w:trPr>
          <w:trHeight w:val="276"/>
        </w:trPr>
        <w:tc>
          <w:tcPr>
            <w:tcW w:w="7244" w:type="dxa"/>
          </w:tcPr>
          <w:p w:rsidR="00B82862" w:rsidRPr="003B127D" w:rsidRDefault="00B82862" w:rsidP="00834F54">
            <w:pPr>
              <w:jc w:val="both"/>
              <w:rPr>
                <w:rFonts w:ascii="Arial" w:hAnsi="Arial" w:cs="Arial"/>
                <w:sz w:val="20"/>
                <w:szCs w:val="20"/>
              </w:rPr>
            </w:pPr>
            <w:r>
              <w:rPr>
                <w:rFonts w:ascii="Arial" w:hAnsi="Arial" w:cs="Arial"/>
                <w:sz w:val="20"/>
                <w:szCs w:val="20"/>
              </w:rPr>
              <w:t>21</w:t>
            </w:r>
            <w:r w:rsidRPr="003B127D">
              <w:rPr>
                <w:rFonts w:ascii="Arial" w:hAnsi="Arial" w:cs="Arial"/>
                <w:sz w:val="20"/>
                <w:szCs w:val="20"/>
              </w:rPr>
              <w:t xml:space="preserve">.  </w:t>
            </w:r>
            <w:r w:rsidR="00BF6989" w:rsidRPr="00BF6989">
              <w:rPr>
                <w:rFonts w:ascii="Arial" w:hAnsi="Arial" w:cs="Arial"/>
                <w:sz w:val="20"/>
                <w:szCs w:val="20"/>
                <w:u w:val="single"/>
              </w:rPr>
              <w:t>Carrying Out Plan's Obligations</w:t>
            </w:r>
            <w:r w:rsidR="00BF6989">
              <w:rPr>
                <w:rFonts w:ascii="Arial" w:hAnsi="Arial" w:cs="Arial"/>
                <w:sz w:val="20"/>
                <w:szCs w:val="20"/>
              </w:rPr>
              <w:t xml:space="preserve">.  </w:t>
            </w:r>
            <w:r w:rsidRPr="00B82862">
              <w:rPr>
                <w:rFonts w:ascii="Arial" w:hAnsi="Arial" w:cs="Arial"/>
                <w:sz w:val="20"/>
                <w:szCs w:val="20"/>
              </w:rPr>
              <w:t>To the extent the business associate will carry out a plan'</w:t>
            </w:r>
            <w:r>
              <w:rPr>
                <w:rFonts w:ascii="Arial" w:hAnsi="Arial" w:cs="Arial"/>
                <w:sz w:val="20"/>
                <w:szCs w:val="20"/>
              </w:rPr>
              <w:t>s</w:t>
            </w:r>
            <w:r w:rsidRPr="00B82862">
              <w:rPr>
                <w:rFonts w:ascii="Arial" w:hAnsi="Arial" w:cs="Arial"/>
                <w:sz w:val="20"/>
                <w:szCs w:val="20"/>
              </w:rPr>
              <w:t xml:space="preserve"> obligation under the HIPAA Privacy Rules, the business associate must comply with the Privacy Rule requirements that apply to the plan.</w:t>
            </w:r>
          </w:p>
        </w:tc>
        <w:tc>
          <w:tcPr>
            <w:tcW w:w="2366" w:type="dxa"/>
          </w:tcPr>
          <w:p w:rsidR="00B82862" w:rsidRPr="003B127D" w:rsidRDefault="00B82862" w:rsidP="00834F54">
            <w:pPr>
              <w:jc w:val="both"/>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B82862" w:rsidRPr="003B127D" w:rsidRDefault="00B82862" w:rsidP="00834F54">
            <w:pPr>
              <w:jc w:val="both"/>
              <w:rPr>
                <w:rFonts w:ascii="Arial" w:hAnsi="Arial" w:cs="Arial"/>
                <w:sz w:val="20"/>
                <w:szCs w:val="20"/>
              </w:rPr>
            </w:pPr>
            <w:r w:rsidRPr="003B127D">
              <w:rPr>
                <w:rFonts w:ascii="Arial" w:hAnsi="Arial" w:cs="Arial"/>
                <w:sz w:val="20"/>
                <w:szCs w:val="20"/>
              </w:rPr>
              <w:t>_________________</w:t>
            </w:r>
          </w:p>
          <w:p w:rsidR="00B82862" w:rsidRPr="003B127D" w:rsidRDefault="00B82862" w:rsidP="00834F54">
            <w:pPr>
              <w:jc w:val="both"/>
              <w:rPr>
                <w:rFonts w:ascii="Arial" w:hAnsi="Arial" w:cs="Arial"/>
                <w:sz w:val="20"/>
                <w:szCs w:val="20"/>
              </w:rPr>
            </w:pPr>
            <w:r w:rsidRPr="003B127D">
              <w:rPr>
                <w:rFonts w:ascii="Arial" w:hAnsi="Arial" w:cs="Arial"/>
                <w:sz w:val="20"/>
                <w:szCs w:val="20"/>
              </w:rPr>
              <w:t>_________________</w:t>
            </w:r>
          </w:p>
          <w:p w:rsidR="00B82862" w:rsidRPr="003B127D" w:rsidRDefault="00B82862" w:rsidP="00834F54">
            <w:pPr>
              <w:jc w:val="both"/>
              <w:rPr>
                <w:rFonts w:ascii="Arial" w:hAnsi="Arial" w:cs="Arial"/>
                <w:sz w:val="20"/>
                <w:szCs w:val="20"/>
              </w:rPr>
            </w:pPr>
          </w:p>
        </w:tc>
      </w:tr>
      <w:tr w:rsidR="00397A05" w:rsidRPr="003B127D" w:rsidTr="00397A05">
        <w:trPr>
          <w:trHeight w:val="276"/>
        </w:trPr>
        <w:tc>
          <w:tcPr>
            <w:tcW w:w="7244" w:type="dxa"/>
          </w:tcPr>
          <w:p w:rsidR="00397A05" w:rsidRPr="001A6433" w:rsidRDefault="00397A05" w:rsidP="00397A05">
            <w:pPr>
              <w:tabs>
                <w:tab w:val="num" w:pos="1440"/>
              </w:tabs>
              <w:spacing w:before="120" w:after="120"/>
              <w:jc w:val="both"/>
              <w:rPr>
                <w:rFonts w:ascii="Arial" w:hAnsi="Arial" w:cs="Arial"/>
                <w:b/>
                <w:sz w:val="20"/>
              </w:rPr>
            </w:pPr>
            <w:r>
              <w:rPr>
                <w:rFonts w:ascii="Arial" w:hAnsi="Arial" w:cs="Arial"/>
                <w:sz w:val="20"/>
                <w:szCs w:val="20"/>
              </w:rPr>
              <w:t xml:space="preserve">22.  </w:t>
            </w:r>
            <w:r w:rsidRPr="00397A05">
              <w:rPr>
                <w:rFonts w:ascii="Arial" w:hAnsi="Arial" w:cs="Arial"/>
                <w:sz w:val="20"/>
                <w:u w:val="single"/>
              </w:rPr>
              <w:t>No Third Party</w:t>
            </w:r>
            <w:r w:rsidRPr="001A6433">
              <w:rPr>
                <w:rFonts w:ascii="Arial" w:hAnsi="Arial" w:cs="Arial"/>
                <w:b/>
                <w:sz w:val="20"/>
                <w:u w:val="single"/>
              </w:rPr>
              <w:t xml:space="preserve"> </w:t>
            </w:r>
            <w:r w:rsidRPr="00397A05">
              <w:rPr>
                <w:rFonts w:ascii="Arial" w:hAnsi="Arial" w:cs="Arial"/>
                <w:sz w:val="20"/>
                <w:u w:val="single"/>
              </w:rPr>
              <w:t>Beneficiaries</w:t>
            </w:r>
            <w:r w:rsidRPr="001A6433">
              <w:rPr>
                <w:rFonts w:ascii="Arial" w:hAnsi="Arial" w:cs="Arial"/>
                <w:b/>
                <w:sz w:val="20"/>
              </w:rPr>
              <w:t>.</w:t>
            </w:r>
            <w:r w:rsidRPr="001A6433">
              <w:rPr>
                <w:rFonts w:ascii="Arial" w:hAnsi="Arial" w:cs="Arial"/>
                <w:sz w:val="20"/>
              </w:rPr>
              <w:t xml:space="preserve">  Nothing in this Agreement shall be construed as creating </w:t>
            </w:r>
            <w:r w:rsidRPr="001A6433">
              <w:rPr>
                <w:rFonts w:ascii="Arial" w:hAnsi="Arial" w:cs="Arial"/>
                <w:sz w:val="20"/>
              </w:rPr>
              <w:t>any rights</w:t>
            </w:r>
            <w:r w:rsidRPr="001A6433">
              <w:rPr>
                <w:rFonts w:ascii="Arial" w:hAnsi="Arial" w:cs="Arial"/>
                <w:sz w:val="20"/>
              </w:rPr>
              <w:t xml:space="preserve"> or benefits to any third parties.</w:t>
            </w:r>
          </w:p>
          <w:p w:rsidR="00397A05" w:rsidRDefault="00397A05" w:rsidP="00834F54">
            <w:pPr>
              <w:jc w:val="both"/>
              <w:rPr>
                <w:rFonts w:ascii="Arial" w:hAnsi="Arial" w:cs="Arial"/>
                <w:sz w:val="20"/>
                <w:szCs w:val="20"/>
              </w:rPr>
            </w:pPr>
          </w:p>
        </w:tc>
        <w:tc>
          <w:tcPr>
            <w:tcW w:w="2366" w:type="dxa"/>
          </w:tcPr>
          <w:p w:rsidR="00397A05" w:rsidRPr="003B127D" w:rsidRDefault="00397A05" w:rsidP="00397A05">
            <w:pPr>
              <w:jc w:val="both"/>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397A05" w:rsidRPr="003B127D" w:rsidRDefault="00397A05" w:rsidP="00397A05">
            <w:pPr>
              <w:jc w:val="both"/>
              <w:rPr>
                <w:rFonts w:ascii="Arial" w:hAnsi="Arial" w:cs="Arial"/>
                <w:sz w:val="20"/>
                <w:szCs w:val="20"/>
              </w:rPr>
            </w:pPr>
            <w:r w:rsidRPr="003B127D">
              <w:rPr>
                <w:rFonts w:ascii="Arial" w:hAnsi="Arial" w:cs="Arial"/>
                <w:sz w:val="20"/>
                <w:szCs w:val="20"/>
              </w:rPr>
              <w:t>_________________</w:t>
            </w:r>
          </w:p>
          <w:p w:rsidR="00397A05" w:rsidRPr="003B127D" w:rsidRDefault="00397A05" w:rsidP="00397A05">
            <w:pPr>
              <w:jc w:val="both"/>
              <w:rPr>
                <w:rFonts w:ascii="Arial" w:hAnsi="Arial" w:cs="Arial"/>
                <w:sz w:val="20"/>
                <w:szCs w:val="20"/>
              </w:rPr>
            </w:pPr>
            <w:r w:rsidRPr="003B127D">
              <w:rPr>
                <w:rFonts w:ascii="Arial" w:hAnsi="Arial" w:cs="Arial"/>
                <w:sz w:val="20"/>
                <w:szCs w:val="20"/>
              </w:rPr>
              <w:t>_________________</w:t>
            </w:r>
          </w:p>
          <w:p w:rsidR="00397A05" w:rsidRPr="003B127D" w:rsidRDefault="00397A05" w:rsidP="00834F54">
            <w:pPr>
              <w:jc w:val="both"/>
              <w:rPr>
                <w:rFonts w:ascii="Arial" w:hAnsi="Arial" w:cs="Arial"/>
                <w:sz w:val="20"/>
                <w:szCs w:val="20"/>
              </w:rPr>
            </w:pPr>
          </w:p>
        </w:tc>
      </w:tr>
    </w:tbl>
    <w:p w:rsidR="007072BE" w:rsidRDefault="007072BE" w:rsidP="004A3898">
      <w:pPr>
        <w:jc w:val="both"/>
        <w:rPr>
          <w:rFonts w:ascii="Arial" w:hAnsi="Arial" w:cs="Arial"/>
          <w:sz w:val="20"/>
          <w:szCs w:val="20"/>
        </w:rPr>
      </w:pPr>
    </w:p>
    <w:tbl>
      <w:tblPr>
        <w:tblStyle w:val="TableGrid"/>
        <w:tblW w:w="0" w:type="auto"/>
        <w:tblLook w:val="04A0" w:firstRow="1" w:lastRow="0" w:firstColumn="1" w:lastColumn="0" w:noHBand="0" w:noVBand="1"/>
      </w:tblPr>
      <w:tblGrid>
        <w:gridCol w:w="7218"/>
        <w:gridCol w:w="2358"/>
      </w:tblGrid>
      <w:tr w:rsidR="00224D88" w:rsidRPr="003B127D" w:rsidTr="004A3898">
        <w:trPr>
          <w:tblHeader/>
        </w:trPr>
        <w:tc>
          <w:tcPr>
            <w:tcW w:w="7218" w:type="dxa"/>
          </w:tcPr>
          <w:p w:rsidR="00224D88" w:rsidRPr="003B127D" w:rsidRDefault="00224D88" w:rsidP="004A3898">
            <w:pPr>
              <w:jc w:val="both"/>
              <w:rPr>
                <w:rFonts w:ascii="Arial" w:hAnsi="Arial" w:cs="Arial"/>
                <w:sz w:val="20"/>
                <w:szCs w:val="20"/>
              </w:rPr>
            </w:pPr>
            <w:r w:rsidRPr="003B127D">
              <w:rPr>
                <w:rFonts w:ascii="Arial" w:hAnsi="Arial" w:cs="Arial"/>
                <w:b/>
                <w:sz w:val="20"/>
                <w:szCs w:val="20"/>
              </w:rPr>
              <w:t>Strongly Suggested / Typically Included Provisions</w:t>
            </w:r>
          </w:p>
        </w:tc>
        <w:tc>
          <w:tcPr>
            <w:tcW w:w="2358" w:type="dxa"/>
          </w:tcPr>
          <w:p w:rsidR="00224D88" w:rsidRPr="003B127D" w:rsidRDefault="00224D88" w:rsidP="004A3898">
            <w:pPr>
              <w:jc w:val="both"/>
              <w:rPr>
                <w:rFonts w:ascii="Arial" w:hAnsi="Arial" w:cs="Arial"/>
                <w:sz w:val="20"/>
                <w:szCs w:val="20"/>
              </w:rPr>
            </w:pPr>
            <w:r w:rsidRPr="003B127D">
              <w:rPr>
                <w:rFonts w:ascii="Arial" w:hAnsi="Arial" w:cs="Arial"/>
                <w:b/>
                <w:sz w:val="20"/>
                <w:szCs w:val="20"/>
              </w:rPr>
              <w:t>Check if Included</w:t>
            </w:r>
            <w:r w:rsidR="00A723EF" w:rsidRPr="003B127D">
              <w:rPr>
                <w:rFonts w:ascii="Arial" w:hAnsi="Arial" w:cs="Arial"/>
                <w:b/>
                <w:sz w:val="20"/>
                <w:szCs w:val="20"/>
              </w:rPr>
              <w:t xml:space="preserve"> / Comments</w:t>
            </w:r>
          </w:p>
        </w:tc>
      </w:tr>
      <w:tr w:rsidR="00A723EF" w:rsidRPr="003B127D" w:rsidTr="00C62289">
        <w:tc>
          <w:tcPr>
            <w:tcW w:w="7218"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1.  </w:t>
            </w:r>
            <w:r w:rsidRPr="003B127D">
              <w:rPr>
                <w:rFonts w:ascii="Arial" w:hAnsi="Arial" w:cs="Arial"/>
                <w:sz w:val="20"/>
                <w:szCs w:val="20"/>
                <w:u w:val="single"/>
              </w:rPr>
              <w:t>Termination Due to Overall Relationship Ending</w:t>
            </w:r>
            <w:r w:rsidRPr="003B127D">
              <w:rPr>
                <w:rFonts w:ascii="Arial" w:hAnsi="Arial" w:cs="Arial"/>
                <w:sz w:val="20"/>
                <w:szCs w:val="20"/>
              </w:rPr>
              <w:t>.  The BAA shall terminate in the event that the underlying relationship, functions, or services that gives rise to the necessity of a BAA terminates for any reason.</w:t>
            </w:r>
          </w:p>
        </w:tc>
        <w:tc>
          <w:tcPr>
            <w:tcW w:w="2358"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4A3898">
            <w:pPr>
              <w:jc w:val="both"/>
              <w:rPr>
                <w:rFonts w:ascii="Arial" w:hAnsi="Arial" w:cs="Arial"/>
                <w:sz w:val="20"/>
                <w:szCs w:val="20"/>
              </w:rPr>
            </w:pPr>
            <w:r w:rsidRPr="003B127D">
              <w:rPr>
                <w:rFonts w:ascii="Arial" w:hAnsi="Arial" w:cs="Arial"/>
                <w:sz w:val="20"/>
                <w:szCs w:val="20"/>
              </w:rPr>
              <w:t>_________________</w:t>
            </w:r>
          </w:p>
          <w:p w:rsidR="00A723EF" w:rsidRPr="003B127D" w:rsidRDefault="00A723EF" w:rsidP="004A3898">
            <w:pPr>
              <w:jc w:val="both"/>
              <w:rPr>
                <w:rFonts w:ascii="Arial" w:hAnsi="Arial" w:cs="Arial"/>
                <w:sz w:val="20"/>
                <w:szCs w:val="20"/>
              </w:rPr>
            </w:pPr>
            <w:r w:rsidRPr="003B127D">
              <w:rPr>
                <w:rFonts w:ascii="Arial" w:hAnsi="Arial" w:cs="Arial"/>
                <w:sz w:val="20"/>
                <w:szCs w:val="20"/>
              </w:rPr>
              <w:t>_________________</w:t>
            </w:r>
          </w:p>
          <w:p w:rsidR="00A723EF" w:rsidRPr="003B127D" w:rsidRDefault="00A723EF" w:rsidP="004A3898">
            <w:pPr>
              <w:jc w:val="both"/>
              <w:rPr>
                <w:rFonts w:ascii="Arial" w:hAnsi="Arial" w:cs="Arial"/>
                <w:sz w:val="20"/>
                <w:szCs w:val="20"/>
              </w:rPr>
            </w:pPr>
          </w:p>
        </w:tc>
      </w:tr>
      <w:tr w:rsidR="00A723EF" w:rsidRPr="003B127D" w:rsidTr="00C62289">
        <w:tc>
          <w:tcPr>
            <w:tcW w:w="7218"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2.  </w:t>
            </w:r>
            <w:r w:rsidRPr="003B127D">
              <w:rPr>
                <w:rFonts w:ascii="Arial" w:hAnsi="Arial" w:cs="Arial"/>
                <w:sz w:val="20"/>
                <w:szCs w:val="20"/>
                <w:u w:val="single"/>
              </w:rPr>
              <w:t>Reporting of Violation</w:t>
            </w:r>
            <w:r w:rsidRPr="003B127D">
              <w:rPr>
                <w:rFonts w:ascii="Arial" w:hAnsi="Arial" w:cs="Arial"/>
                <w:sz w:val="20"/>
                <w:szCs w:val="20"/>
              </w:rPr>
              <w:t>.  The business associate may use PHI to report violations of law to the appropriate state and federal authorities, consistent with 45 CFR § 164.502(j</w:t>
            </w:r>
            <w:proofErr w:type="gramStart"/>
            <w:r w:rsidRPr="003B127D">
              <w:rPr>
                <w:rFonts w:ascii="Arial" w:hAnsi="Arial" w:cs="Arial"/>
                <w:sz w:val="20"/>
                <w:szCs w:val="20"/>
              </w:rPr>
              <w:t>)(</w:t>
            </w:r>
            <w:proofErr w:type="gramEnd"/>
            <w:r w:rsidRPr="003B127D">
              <w:rPr>
                <w:rFonts w:ascii="Arial" w:hAnsi="Arial" w:cs="Arial"/>
                <w:sz w:val="20"/>
                <w:szCs w:val="20"/>
              </w:rPr>
              <w:t>i).</w:t>
            </w:r>
          </w:p>
        </w:tc>
        <w:tc>
          <w:tcPr>
            <w:tcW w:w="2358"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4A3898">
            <w:pPr>
              <w:jc w:val="both"/>
              <w:rPr>
                <w:rFonts w:ascii="Arial" w:hAnsi="Arial" w:cs="Arial"/>
                <w:sz w:val="20"/>
                <w:szCs w:val="20"/>
              </w:rPr>
            </w:pPr>
            <w:r w:rsidRPr="003B127D">
              <w:rPr>
                <w:rFonts w:ascii="Arial" w:hAnsi="Arial" w:cs="Arial"/>
                <w:sz w:val="20"/>
                <w:szCs w:val="20"/>
              </w:rPr>
              <w:t>_________________</w:t>
            </w:r>
          </w:p>
          <w:p w:rsidR="00A723EF" w:rsidRPr="003B127D" w:rsidRDefault="00A723EF" w:rsidP="004A3898">
            <w:pPr>
              <w:jc w:val="both"/>
              <w:rPr>
                <w:rFonts w:ascii="Arial" w:hAnsi="Arial" w:cs="Arial"/>
                <w:sz w:val="20"/>
                <w:szCs w:val="20"/>
              </w:rPr>
            </w:pPr>
            <w:r w:rsidRPr="003B127D">
              <w:rPr>
                <w:rFonts w:ascii="Arial" w:hAnsi="Arial" w:cs="Arial"/>
                <w:sz w:val="20"/>
                <w:szCs w:val="20"/>
              </w:rPr>
              <w:t>_________________</w:t>
            </w:r>
          </w:p>
          <w:p w:rsidR="00A723EF" w:rsidRPr="003B127D" w:rsidRDefault="00A723EF" w:rsidP="004A3898">
            <w:pPr>
              <w:jc w:val="both"/>
              <w:rPr>
                <w:rFonts w:ascii="Arial" w:hAnsi="Arial" w:cs="Arial"/>
                <w:sz w:val="20"/>
                <w:szCs w:val="20"/>
              </w:rPr>
            </w:pPr>
          </w:p>
        </w:tc>
      </w:tr>
      <w:tr w:rsidR="00A723EF" w:rsidRPr="003B127D" w:rsidTr="00C62289">
        <w:tc>
          <w:tcPr>
            <w:tcW w:w="7218"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3.  </w:t>
            </w:r>
            <w:r w:rsidRPr="003B127D">
              <w:rPr>
                <w:rFonts w:ascii="Arial" w:hAnsi="Arial" w:cs="Arial"/>
                <w:sz w:val="20"/>
                <w:szCs w:val="20"/>
                <w:u w:val="single"/>
              </w:rPr>
              <w:t>Restriction Requests</w:t>
            </w:r>
            <w:r w:rsidRPr="003B127D">
              <w:rPr>
                <w:rFonts w:ascii="Arial" w:hAnsi="Arial" w:cs="Arial"/>
                <w:sz w:val="20"/>
                <w:szCs w:val="20"/>
              </w:rPr>
              <w:t>.  The covered entity shall notify the business associate of any restriction to the use or disclosure of PHI that the covered entity has agreed to in accordance with 45 CFR § 164.522(a) and the HITECH Act.</w:t>
            </w:r>
          </w:p>
        </w:tc>
        <w:tc>
          <w:tcPr>
            <w:tcW w:w="2358"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A723EF" w:rsidRPr="003B127D" w:rsidTr="00C62289">
        <w:tc>
          <w:tcPr>
            <w:tcW w:w="7218" w:type="dxa"/>
          </w:tcPr>
          <w:p w:rsidR="00A723EF" w:rsidRPr="003B127D" w:rsidRDefault="00A723EF" w:rsidP="004A3898">
            <w:pPr>
              <w:jc w:val="both"/>
              <w:rPr>
                <w:rFonts w:ascii="Arial" w:hAnsi="Arial" w:cs="Arial"/>
                <w:sz w:val="20"/>
                <w:szCs w:val="20"/>
              </w:rPr>
            </w:pPr>
            <w:r w:rsidRPr="003B127D">
              <w:rPr>
                <w:rFonts w:ascii="Arial" w:hAnsi="Arial" w:cs="Arial"/>
                <w:sz w:val="20"/>
                <w:szCs w:val="20"/>
              </w:rPr>
              <w:t xml:space="preserve">4.  </w:t>
            </w:r>
            <w:r w:rsidRPr="003B127D">
              <w:rPr>
                <w:rFonts w:ascii="Arial" w:hAnsi="Arial" w:cs="Arial"/>
                <w:sz w:val="20"/>
                <w:szCs w:val="20"/>
                <w:u w:val="single"/>
              </w:rPr>
              <w:t>Confidential Communication Requests</w:t>
            </w:r>
            <w:r w:rsidRPr="003B127D">
              <w:rPr>
                <w:rFonts w:ascii="Arial" w:hAnsi="Arial" w:cs="Arial"/>
                <w:sz w:val="20"/>
                <w:szCs w:val="20"/>
              </w:rPr>
              <w:t xml:space="preserve">.  The covered entity shall notify the business associate of any confidential communication requests which the covered entity has agreed to in accordance with 45 CFR </w:t>
            </w:r>
          </w:p>
          <w:p w:rsidR="00A723EF" w:rsidRPr="003B127D" w:rsidRDefault="00A723EF" w:rsidP="004A3898">
            <w:pPr>
              <w:jc w:val="both"/>
              <w:rPr>
                <w:rFonts w:ascii="Arial" w:hAnsi="Arial" w:cs="Arial"/>
                <w:sz w:val="20"/>
                <w:szCs w:val="20"/>
              </w:rPr>
            </w:pPr>
            <w:r w:rsidRPr="003B127D">
              <w:rPr>
                <w:rFonts w:ascii="Arial" w:hAnsi="Arial" w:cs="Arial"/>
                <w:sz w:val="20"/>
                <w:szCs w:val="20"/>
              </w:rPr>
              <w:t>§ 164.522(b).</w:t>
            </w:r>
          </w:p>
        </w:tc>
        <w:tc>
          <w:tcPr>
            <w:tcW w:w="2358"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r w:rsidR="003243D6" w:rsidRPr="003B127D" w:rsidTr="00C62289">
        <w:tc>
          <w:tcPr>
            <w:tcW w:w="7218" w:type="dxa"/>
          </w:tcPr>
          <w:p w:rsidR="003243D6" w:rsidRPr="003B127D" w:rsidRDefault="003243D6" w:rsidP="003243D6">
            <w:pPr>
              <w:jc w:val="both"/>
              <w:rPr>
                <w:rFonts w:ascii="Arial" w:hAnsi="Arial" w:cs="Arial"/>
                <w:sz w:val="20"/>
                <w:szCs w:val="20"/>
              </w:rPr>
            </w:pPr>
            <w:r>
              <w:rPr>
                <w:rFonts w:ascii="Arial" w:hAnsi="Arial" w:cs="Arial"/>
                <w:sz w:val="20"/>
                <w:szCs w:val="20"/>
              </w:rPr>
              <w:t xml:space="preserve">5. </w:t>
            </w:r>
            <w:r w:rsidR="00371ED2" w:rsidRPr="00371ED2">
              <w:rPr>
                <w:rFonts w:ascii="Arial" w:hAnsi="Arial" w:cs="Arial"/>
                <w:sz w:val="20"/>
                <w:szCs w:val="20"/>
                <w:u w:val="single"/>
              </w:rPr>
              <w:t xml:space="preserve">Who Determines </w:t>
            </w:r>
            <w:proofErr w:type="gramStart"/>
            <w:r w:rsidR="00371ED2" w:rsidRPr="00371ED2">
              <w:rPr>
                <w:rFonts w:ascii="Arial" w:hAnsi="Arial" w:cs="Arial"/>
                <w:sz w:val="20"/>
                <w:szCs w:val="20"/>
                <w:u w:val="single"/>
              </w:rPr>
              <w:t>Breach</w:t>
            </w:r>
            <w:r w:rsidR="00371ED2">
              <w:rPr>
                <w:rFonts w:ascii="Arial" w:hAnsi="Arial" w:cs="Arial"/>
                <w:sz w:val="20"/>
                <w:szCs w:val="20"/>
              </w:rPr>
              <w:t>.</w:t>
            </w:r>
            <w:proofErr w:type="gramEnd"/>
            <w:r w:rsidR="00371ED2">
              <w:rPr>
                <w:rFonts w:ascii="Arial" w:hAnsi="Arial" w:cs="Arial"/>
                <w:sz w:val="20"/>
                <w:szCs w:val="20"/>
              </w:rPr>
              <w:t xml:space="preserve">  </w:t>
            </w:r>
            <w:r>
              <w:rPr>
                <w:rFonts w:ascii="Arial" w:hAnsi="Arial" w:cs="Arial"/>
                <w:sz w:val="20"/>
                <w:szCs w:val="20"/>
              </w:rPr>
              <w:t>Describe which entity (the plan or business associate) will determine whether a breach occurred.</w:t>
            </w:r>
          </w:p>
        </w:tc>
        <w:tc>
          <w:tcPr>
            <w:tcW w:w="2358" w:type="dxa"/>
          </w:tcPr>
          <w:p w:rsidR="003243D6" w:rsidRPr="003B127D" w:rsidRDefault="003243D6" w:rsidP="00EC74C5">
            <w:pPr>
              <w:rPr>
                <w:rFonts w:ascii="Arial" w:hAnsi="Arial" w:cs="Arial"/>
                <w:sz w:val="20"/>
                <w:szCs w:val="20"/>
              </w:rPr>
            </w:pPr>
          </w:p>
        </w:tc>
      </w:tr>
      <w:tr w:rsidR="00A723EF" w:rsidRPr="003B127D" w:rsidTr="00C62289">
        <w:tc>
          <w:tcPr>
            <w:tcW w:w="7218" w:type="dxa"/>
          </w:tcPr>
          <w:p w:rsidR="00A723EF" w:rsidRPr="003B127D" w:rsidRDefault="003243D6" w:rsidP="004A3898">
            <w:pPr>
              <w:jc w:val="both"/>
              <w:rPr>
                <w:rFonts w:ascii="Arial" w:hAnsi="Arial" w:cs="Arial"/>
                <w:sz w:val="20"/>
                <w:szCs w:val="20"/>
              </w:rPr>
            </w:pPr>
            <w:r>
              <w:rPr>
                <w:rFonts w:ascii="Arial" w:hAnsi="Arial" w:cs="Arial"/>
                <w:sz w:val="20"/>
                <w:szCs w:val="20"/>
              </w:rPr>
              <w:t>6</w:t>
            </w:r>
            <w:r w:rsidR="00A723EF" w:rsidRPr="003B127D">
              <w:rPr>
                <w:rFonts w:ascii="Arial" w:hAnsi="Arial" w:cs="Arial"/>
                <w:sz w:val="20"/>
                <w:szCs w:val="20"/>
              </w:rPr>
              <w:t xml:space="preserve">.  </w:t>
            </w:r>
            <w:r w:rsidR="00A723EF" w:rsidRPr="003B127D">
              <w:rPr>
                <w:rFonts w:ascii="Arial" w:hAnsi="Arial" w:cs="Arial"/>
                <w:sz w:val="20"/>
                <w:szCs w:val="20"/>
                <w:u w:val="single"/>
              </w:rPr>
              <w:t>Other Terms</w:t>
            </w:r>
            <w:r w:rsidR="00A723EF" w:rsidRPr="003B127D">
              <w:rPr>
                <w:rFonts w:ascii="Arial" w:hAnsi="Arial" w:cs="Arial"/>
                <w:sz w:val="20"/>
                <w:szCs w:val="20"/>
              </w:rPr>
              <w:t>.  Non-HIPAA, "standard" contract terms such as:</w:t>
            </w:r>
          </w:p>
          <w:p w:rsidR="00A723EF" w:rsidRPr="003B127D" w:rsidRDefault="00A723EF" w:rsidP="004A3898">
            <w:pPr>
              <w:ind w:left="360"/>
              <w:jc w:val="both"/>
              <w:rPr>
                <w:rFonts w:ascii="Arial" w:hAnsi="Arial" w:cs="Arial"/>
                <w:sz w:val="20"/>
                <w:szCs w:val="20"/>
              </w:rPr>
            </w:pPr>
            <w:r w:rsidRPr="003B127D">
              <w:rPr>
                <w:rFonts w:ascii="Arial" w:hAnsi="Arial" w:cs="Arial"/>
                <w:sz w:val="20"/>
                <w:szCs w:val="20"/>
              </w:rPr>
              <w:t>* Severability -- if one section is invalid, the rest remain</w:t>
            </w:r>
          </w:p>
          <w:p w:rsidR="00A723EF" w:rsidRPr="003B127D" w:rsidRDefault="00A723EF" w:rsidP="004A3898">
            <w:pPr>
              <w:ind w:left="360"/>
              <w:jc w:val="both"/>
              <w:rPr>
                <w:rFonts w:ascii="Arial" w:hAnsi="Arial" w:cs="Arial"/>
                <w:sz w:val="20"/>
                <w:szCs w:val="20"/>
              </w:rPr>
            </w:pPr>
            <w:r w:rsidRPr="003B127D">
              <w:rPr>
                <w:rFonts w:ascii="Arial" w:hAnsi="Arial" w:cs="Arial"/>
                <w:sz w:val="20"/>
                <w:szCs w:val="20"/>
              </w:rPr>
              <w:t>* Section headings are for convenience only</w:t>
            </w:r>
          </w:p>
          <w:p w:rsidR="00A723EF" w:rsidRPr="003B127D" w:rsidRDefault="00A723EF" w:rsidP="004A3898">
            <w:pPr>
              <w:ind w:left="360"/>
              <w:jc w:val="both"/>
              <w:rPr>
                <w:rFonts w:ascii="Arial" w:hAnsi="Arial" w:cs="Arial"/>
                <w:sz w:val="20"/>
                <w:szCs w:val="20"/>
              </w:rPr>
            </w:pPr>
            <w:r w:rsidRPr="003B127D">
              <w:rPr>
                <w:rFonts w:ascii="Arial" w:hAnsi="Arial" w:cs="Arial"/>
                <w:sz w:val="20"/>
                <w:szCs w:val="20"/>
              </w:rPr>
              <w:t>* Notices must be in writing</w:t>
            </w:r>
          </w:p>
          <w:p w:rsidR="00A723EF" w:rsidRPr="003B127D" w:rsidRDefault="00A723EF" w:rsidP="004A3898">
            <w:pPr>
              <w:ind w:left="540" w:hanging="180"/>
              <w:jc w:val="both"/>
              <w:rPr>
                <w:rFonts w:ascii="Arial" w:hAnsi="Arial" w:cs="Arial"/>
                <w:sz w:val="20"/>
                <w:szCs w:val="20"/>
              </w:rPr>
            </w:pPr>
            <w:r w:rsidRPr="003B127D">
              <w:rPr>
                <w:rFonts w:ascii="Arial" w:hAnsi="Arial" w:cs="Arial"/>
                <w:sz w:val="20"/>
                <w:szCs w:val="20"/>
              </w:rPr>
              <w:t>* Waiver of one provision of the BAA does not waive other provisions</w:t>
            </w:r>
          </w:p>
          <w:p w:rsidR="00A723EF" w:rsidRPr="003B127D" w:rsidRDefault="00A723EF" w:rsidP="004A3898">
            <w:pPr>
              <w:ind w:left="360"/>
              <w:jc w:val="both"/>
              <w:rPr>
                <w:rFonts w:ascii="Arial" w:hAnsi="Arial" w:cs="Arial"/>
                <w:sz w:val="20"/>
                <w:szCs w:val="20"/>
              </w:rPr>
            </w:pPr>
            <w:r w:rsidRPr="003B127D">
              <w:rPr>
                <w:rFonts w:ascii="Arial" w:hAnsi="Arial" w:cs="Arial"/>
                <w:sz w:val="20"/>
                <w:szCs w:val="20"/>
              </w:rPr>
              <w:t>* BAA drafted by all parties</w:t>
            </w:r>
          </w:p>
          <w:p w:rsidR="00A723EF" w:rsidRPr="003B127D" w:rsidRDefault="00A723EF" w:rsidP="004A3898">
            <w:pPr>
              <w:ind w:left="360"/>
              <w:jc w:val="both"/>
              <w:rPr>
                <w:rFonts w:ascii="Arial" w:hAnsi="Arial" w:cs="Arial"/>
                <w:sz w:val="20"/>
                <w:szCs w:val="20"/>
              </w:rPr>
            </w:pPr>
            <w:r w:rsidRPr="003B127D">
              <w:rPr>
                <w:rFonts w:ascii="Arial" w:hAnsi="Arial" w:cs="Arial"/>
                <w:sz w:val="20"/>
                <w:szCs w:val="20"/>
              </w:rPr>
              <w:t>* Applicable law and venue</w:t>
            </w:r>
          </w:p>
          <w:p w:rsidR="00A723EF" w:rsidRPr="003B127D" w:rsidRDefault="00A723EF" w:rsidP="004A3898">
            <w:pPr>
              <w:ind w:left="360"/>
              <w:jc w:val="both"/>
              <w:rPr>
                <w:rFonts w:ascii="Arial" w:hAnsi="Arial" w:cs="Arial"/>
                <w:sz w:val="20"/>
                <w:szCs w:val="20"/>
              </w:rPr>
            </w:pPr>
            <w:r w:rsidRPr="003B127D">
              <w:rPr>
                <w:rFonts w:ascii="Arial" w:hAnsi="Arial" w:cs="Arial"/>
                <w:sz w:val="20"/>
                <w:szCs w:val="20"/>
              </w:rPr>
              <w:lastRenderedPageBreak/>
              <w:t>* BAA may be executed in multiple counterparts</w:t>
            </w:r>
          </w:p>
          <w:p w:rsidR="00A723EF" w:rsidRDefault="00A723EF" w:rsidP="004A3898">
            <w:pPr>
              <w:ind w:left="360"/>
              <w:jc w:val="both"/>
              <w:rPr>
                <w:rFonts w:ascii="Arial" w:hAnsi="Arial" w:cs="Arial"/>
                <w:sz w:val="20"/>
                <w:szCs w:val="20"/>
              </w:rPr>
            </w:pPr>
            <w:r w:rsidRPr="003B127D">
              <w:rPr>
                <w:rFonts w:ascii="Arial" w:hAnsi="Arial" w:cs="Arial"/>
                <w:sz w:val="20"/>
                <w:szCs w:val="20"/>
              </w:rPr>
              <w:t>* No Sending PHI or ePHI to locations outside United States</w:t>
            </w:r>
          </w:p>
          <w:p w:rsidR="003243D6" w:rsidRPr="003B127D" w:rsidRDefault="003243D6" w:rsidP="004A3898">
            <w:pPr>
              <w:ind w:left="360"/>
              <w:jc w:val="both"/>
              <w:rPr>
                <w:rFonts w:ascii="Arial" w:hAnsi="Arial" w:cs="Arial"/>
                <w:sz w:val="20"/>
                <w:szCs w:val="20"/>
              </w:rPr>
            </w:pPr>
            <w:r>
              <w:rPr>
                <w:rFonts w:ascii="Arial" w:hAnsi="Arial" w:cs="Arial"/>
                <w:sz w:val="20"/>
                <w:szCs w:val="20"/>
              </w:rPr>
              <w:t>* Business associate is not an "agent" of the plan</w:t>
            </w:r>
          </w:p>
        </w:tc>
        <w:tc>
          <w:tcPr>
            <w:tcW w:w="2358" w:type="dxa"/>
          </w:tcPr>
          <w:p w:rsidR="00A723EF" w:rsidRPr="003B127D" w:rsidRDefault="00A723EF" w:rsidP="00EC74C5">
            <w:pPr>
              <w:rPr>
                <w:rFonts w:ascii="Arial" w:hAnsi="Arial" w:cs="Arial"/>
                <w:sz w:val="20"/>
                <w:szCs w:val="20"/>
              </w:rPr>
            </w:pPr>
            <w:r w:rsidRPr="003B127D">
              <w:rPr>
                <w:rFonts w:ascii="Arial" w:hAnsi="Arial" w:cs="Arial"/>
                <w:sz w:val="20"/>
                <w:szCs w:val="20"/>
              </w:rPr>
              <w:lastRenderedPageBreak/>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tr>
    </w:tbl>
    <w:p w:rsidR="00A723EF" w:rsidRPr="003B127D" w:rsidRDefault="00A723EF">
      <w:pPr>
        <w:rPr>
          <w:rFonts w:ascii="Arial" w:hAnsi="Arial" w:cs="Arial"/>
          <w:sz w:val="20"/>
          <w:szCs w:val="20"/>
        </w:rPr>
      </w:pPr>
    </w:p>
    <w:tbl>
      <w:tblPr>
        <w:tblStyle w:val="TableGrid"/>
        <w:tblW w:w="9576" w:type="dxa"/>
        <w:tblLook w:val="04A0" w:firstRow="1" w:lastRow="0" w:firstColumn="1" w:lastColumn="0" w:noHBand="0" w:noVBand="1"/>
      </w:tblPr>
      <w:tblGrid>
        <w:gridCol w:w="7090"/>
        <w:gridCol w:w="2486"/>
      </w:tblGrid>
      <w:tr w:rsidR="00224D88" w:rsidRPr="003B127D" w:rsidTr="00397A05">
        <w:tc>
          <w:tcPr>
            <w:tcW w:w="7090" w:type="dxa"/>
          </w:tcPr>
          <w:p w:rsidR="00224D88" w:rsidRPr="003B127D" w:rsidRDefault="00224D88">
            <w:pPr>
              <w:rPr>
                <w:rFonts w:ascii="Arial" w:hAnsi="Arial" w:cs="Arial"/>
                <w:sz w:val="20"/>
                <w:szCs w:val="20"/>
              </w:rPr>
            </w:pPr>
            <w:r w:rsidRPr="003B127D">
              <w:rPr>
                <w:rFonts w:ascii="Arial" w:hAnsi="Arial" w:cs="Arial"/>
                <w:b/>
                <w:sz w:val="20"/>
                <w:szCs w:val="20"/>
              </w:rPr>
              <w:t>Use Caution Regarding These Terms</w:t>
            </w:r>
          </w:p>
        </w:tc>
        <w:tc>
          <w:tcPr>
            <w:tcW w:w="2486" w:type="dxa"/>
          </w:tcPr>
          <w:p w:rsidR="00224D88" w:rsidRPr="003B127D" w:rsidRDefault="00224D88" w:rsidP="00397A05">
            <w:pPr>
              <w:ind w:left="20"/>
              <w:jc w:val="center"/>
              <w:rPr>
                <w:rFonts w:ascii="Arial" w:hAnsi="Arial" w:cs="Arial"/>
                <w:sz w:val="20"/>
                <w:szCs w:val="20"/>
              </w:rPr>
            </w:pPr>
            <w:r w:rsidRPr="003B127D">
              <w:rPr>
                <w:rFonts w:ascii="Arial" w:hAnsi="Arial" w:cs="Arial"/>
                <w:b/>
                <w:sz w:val="20"/>
                <w:szCs w:val="20"/>
              </w:rPr>
              <w:t>Check if Included</w:t>
            </w:r>
            <w:r w:rsidR="00A723EF" w:rsidRPr="003B127D">
              <w:rPr>
                <w:rFonts w:ascii="Arial" w:hAnsi="Arial" w:cs="Arial"/>
                <w:b/>
                <w:sz w:val="20"/>
                <w:szCs w:val="20"/>
              </w:rPr>
              <w:t xml:space="preserve"> / Comments</w:t>
            </w:r>
          </w:p>
        </w:tc>
      </w:tr>
      <w:tr w:rsidR="00836C95" w:rsidRPr="003B127D" w:rsidTr="00397A05">
        <w:tc>
          <w:tcPr>
            <w:tcW w:w="7090" w:type="dxa"/>
          </w:tcPr>
          <w:p w:rsidR="00836C95" w:rsidRPr="003B127D" w:rsidRDefault="00836C95">
            <w:pPr>
              <w:rPr>
                <w:rFonts w:ascii="Arial" w:hAnsi="Arial" w:cs="Arial"/>
                <w:sz w:val="20"/>
                <w:szCs w:val="20"/>
              </w:rPr>
            </w:pPr>
            <w:r w:rsidRPr="003B127D">
              <w:rPr>
                <w:rFonts w:ascii="Arial" w:hAnsi="Arial" w:cs="Arial"/>
                <w:sz w:val="20"/>
                <w:szCs w:val="20"/>
              </w:rPr>
              <w:t xml:space="preserve">1.  </w:t>
            </w:r>
            <w:r w:rsidR="00141FB4" w:rsidRPr="003B127D">
              <w:rPr>
                <w:rFonts w:ascii="Arial" w:hAnsi="Arial" w:cs="Arial"/>
                <w:sz w:val="20"/>
                <w:szCs w:val="20"/>
                <w:u w:val="single"/>
              </w:rPr>
              <w:t>Indemnification</w:t>
            </w:r>
            <w:r w:rsidR="00141FB4" w:rsidRPr="003B127D">
              <w:rPr>
                <w:rFonts w:ascii="Arial" w:hAnsi="Arial" w:cs="Arial"/>
                <w:sz w:val="20"/>
                <w:szCs w:val="20"/>
              </w:rPr>
              <w:t xml:space="preserve">.  </w:t>
            </w:r>
            <w:r w:rsidRPr="003B127D">
              <w:rPr>
                <w:rFonts w:ascii="Arial" w:hAnsi="Arial" w:cs="Arial"/>
                <w:sz w:val="20"/>
                <w:szCs w:val="20"/>
              </w:rPr>
              <w:t>Indemnification (especially if one-sided and not mutual).</w:t>
            </w:r>
          </w:p>
        </w:tc>
        <w:tc>
          <w:tcPr>
            <w:tcW w:w="2486" w:type="dxa"/>
          </w:tcPr>
          <w:p w:rsidR="00836C95" w:rsidRPr="003B127D" w:rsidRDefault="00836C95" w:rsidP="00397A05">
            <w:pPr>
              <w:ind w:left="-160" w:firstLine="160"/>
              <w:rPr>
                <w:rFonts w:ascii="Arial" w:hAnsi="Arial" w:cs="Arial"/>
                <w:sz w:val="20"/>
                <w:szCs w:val="20"/>
              </w:rPr>
            </w:pPr>
            <w:r w:rsidRPr="003B127D">
              <w:rPr>
                <w:rFonts w:ascii="Arial" w:hAnsi="Arial" w:cs="Arial"/>
                <w:sz w:val="20"/>
                <w:szCs w:val="20"/>
              </w:rPr>
              <w:sym w:font="Wingdings" w:char="F0A8"/>
            </w:r>
            <w:r w:rsidR="00A723EF" w:rsidRPr="003B127D">
              <w:rPr>
                <w:rFonts w:ascii="Arial" w:hAnsi="Arial" w:cs="Arial"/>
                <w:sz w:val="20"/>
                <w:szCs w:val="20"/>
              </w:rPr>
              <w:t xml:space="preserve">  ______________</w:t>
            </w:r>
          </w:p>
          <w:p w:rsidR="00A723EF" w:rsidRPr="003B127D" w:rsidRDefault="00A723EF" w:rsidP="00397A05">
            <w:pPr>
              <w:ind w:left="-160" w:firstLine="160"/>
              <w:rPr>
                <w:rFonts w:ascii="Arial" w:hAnsi="Arial" w:cs="Arial"/>
                <w:sz w:val="20"/>
                <w:szCs w:val="20"/>
              </w:rPr>
            </w:pPr>
            <w:r w:rsidRPr="003B127D">
              <w:rPr>
                <w:rFonts w:ascii="Arial" w:hAnsi="Arial" w:cs="Arial"/>
                <w:sz w:val="20"/>
                <w:szCs w:val="20"/>
              </w:rPr>
              <w:t>_________________</w:t>
            </w:r>
          </w:p>
          <w:p w:rsidR="00A723EF" w:rsidRPr="003B127D" w:rsidRDefault="00A723EF" w:rsidP="00397A05">
            <w:pPr>
              <w:ind w:left="-160" w:firstLine="160"/>
              <w:rPr>
                <w:rFonts w:ascii="Arial" w:hAnsi="Arial" w:cs="Arial"/>
                <w:sz w:val="20"/>
                <w:szCs w:val="20"/>
              </w:rPr>
            </w:pPr>
            <w:r w:rsidRPr="003B127D">
              <w:rPr>
                <w:rFonts w:ascii="Arial" w:hAnsi="Arial" w:cs="Arial"/>
                <w:sz w:val="20"/>
                <w:szCs w:val="20"/>
              </w:rPr>
              <w:t>_________________</w:t>
            </w:r>
          </w:p>
          <w:p w:rsidR="00A723EF" w:rsidRPr="003B127D" w:rsidRDefault="00A723EF" w:rsidP="00397A05">
            <w:pPr>
              <w:ind w:left="-160" w:firstLine="160"/>
              <w:rPr>
                <w:rFonts w:ascii="Arial" w:hAnsi="Arial" w:cs="Arial"/>
                <w:sz w:val="20"/>
                <w:szCs w:val="20"/>
              </w:rPr>
            </w:pPr>
          </w:p>
        </w:tc>
      </w:tr>
      <w:tr w:rsidR="00A723EF" w:rsidRPr="003B127D" w:rsidTr="00397A05">
        <w:tc>
          <w:tcPr>
            <w:tcW w:w="7090" w:type="dxa"/>
          </w:tcPr>
          <w:p w:rsidR="00A723EF" w:rsidRPr="003B127D" w:rsidRDefault="00A723EF">
            <w:pPr>
              <w:rPr>
                <w:rFonts w:ascii="Arial" w:hAnsi="Arial" w:cs="Arial"/>
                <w:sz w:val="20"/>
                <w:szCs w:val="20"/>
              </w:rPr>
            </w:pPr>
            <w:r w:rsidRPr="003B127D">
              <w:rPr>
                <w:rFonts w:ascii="Arial" w:hAnsi="Arial" w:cs="Arial"/>
                <w:sz w:val="20"/>
                <w:szCs w:val="20"/>
              </w:rPr>
              <w:t xml:space="preserve">2.  </w:t>
            </w:r>
            <w:r w:rsidRPr="003B127D">
              <w:rPr>
                <w:rFonts w:ascii="Arial" w:hAnsi="Arial" w:cs="Arial"/>
                <w:sz w:val="20"/>
                <w:szCs w:val="20"/>
                <w:u w:val="single"/>
              </w:rPr>
              <w:t>Reference to Other Documents</w:t>
            </w:r>
            <w:r w:rsidRPr="003B127D">
              <w:rPr>
                <w:rFonts w:ascii="Arial" w:hAnsi="Arial" w:cs="Arial"/>
                <w:sz w:val="20"/>
                <w:szCs w:val="20"/>
              </w:rPr>
              <w:t>.  Requirement to follow the other party's notice of privacy practices or policies and procedures.</w:t>
            </w:r>
          </w:p>
        </w:tc>
        <w:tc>
          <w:tcPr>
            <w:tcW w:w="2486" w:type="dxa"/>
          </w:tcPr>
          <w:p w:rsidR="00A723EF" w:rsidRPr="003B127D" w:rsidRDefault="00A723EF" w:rsidP="00EC74C5">
            <w:pPr>
              <w:rPr>
                <w:rFonts w:ascii="Arial" w:hAnsi="Arial" w:cs="Arial"/>
                <w:sz w:val="20"/>
                <w:szCs w:val="20"/>
              </w:rPr>
            </w:pPr>
            <w:r w:rsidRPr="003B127D">
              <w:rPr>
                <w:rFonts w:ascii="Arial" w:hAnsi="Arial" w:cs="Arial"/>
                <w:sz w:val="20"/>
                <w:szCs w:val="20"/>
              </w:rPr>
              <w:sym w:font="Wingdings" w:char="F0A8"/>
            </w:r>
            <w:r w:rsidRPr="003B127D">
              <w:rPr>
                <w:rFonts w:ascii="Arial" w:hAnsi="Arial" w:cs="Arial"/>
                <w:sz w:val="20"/>
                <w:szCs w:val="20"/>
              </w:rPr>
              <w:t xml:space="preserve">  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r w:rsidRPr="003B127D">
              <w:rPr>
                <w:rFonts w:ascii="Arial" w:hAnsi="Arial" w:cs="Arial"/>
                <w:sz w:val="20"/>
                <w:szCs w:val="20"/>
              </w:rPr>
              <w:t>_________________</w:t>
            </w:r>
          </w:p>
          <w:p w:rsidR="00A723EF" w:rsidRPr="003B127D" w:rsidRDefault="00A723EF" w:rsidP="00EC74C5">
            <w:pPr>
              <w:rPr>
                <w:rFonts w:ascii="Arial" w:hAnsi="Arial" w:cs="Arial"/>
                <w:sz w:val="20"/>
                <w:szCs w:val="20"/>
              </w:rPr>
            </w:pPr>
          </w:p>
        </w:tc>
        <w:bookmarkStart w:id="0" w:name="_GoBack"/>
        <w:bookmarkEnd w:id="0"/>
      </w:tr>
    </w:tbl>
    <w:p w:rsidR="00836C95" w:rsidRPr="003B127D" w:rsidRDefault="00836C95">
      <w:pPr>
        <w:rPr>
          <w:rFonts w:ascii="Arial" w:hAnsi="Arial" w:cs="Arial"/>
          <w:sz w:val="20"/>
          <w:szCs w:val="20"/>
        </w:rPr>
      </w:pPr>
    </w:p>
    <w:p w:rsidR="004C0D07" w:rsidRPr="003B127D" w:rsidRDefault="004C0D07">
      <w:pPr>
        <w:rPr>
          <w:rFonts w:ascii="Arial" w:hAnsi="Arial" w:cs="Arial"/>
          <w:sz w:val="20"/>
          <w:szCs w:val="20"/>
        </w:rPr>
      </w:pPr>
    </w:p>
    <w:p w:rsidR="00941D6E" w:rsidRDefault="00941D6E">
      <w:pPr>
        <w:rPr>
          <w:rFonts w:ascii="Arial" w:hAnsi="Arial" w:cs="Arial"/>
          <w:sz w:val="20"/>
          <w:szCs w:val="20"/>
        </w:rPr>
      </w:pPr>
    </w:p>
    <w:p w:rsidR="003243D6" w:rsidRDefault="00941D6E" w:rsidP="00941D6E">
      <w:pPr>
        <w:spacing w:line="200" w:lineRule="exact"/>
      </w:pPr>
      <w:r w:rsidRPr="00941D6E">
        <w:rPr>
          <w:rStyle w:val="zzmpTrailerItem"/>
        </w:rPr>
        <w:t>QB\21426749.1</w:t>
      </w:r>
      <w:r w:rsidRPr="00941D6E">
        <w:t xml:space="preserve"> </w:t>
      </w:r>
    </w:p>
    <w:sectPr w:rsidR="003243D6" w:rsidSect="00A723EF">
      <w:headerReference w:type="default" r:id="rId8"/>
      <w:footerReference w:type="default" r:id="rId9"/>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A1E" w:rsidRDefault="008F3A1E" w:rsidP="00E66929">
      <w:r>
        <w:separator/>
      </w:r>
    </w:p>
  </w:endnote>
  <w:endnote w:type="continuationSeparator" w:id="0">
    <w:p w:rsidR="008F3A1E" w:rsidRDefault="008F3A1E" w:rsidP="00E6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rPr>
      <w:id w:val="32806278"/>
      <w:docPartObj>
        <w:docPartGallery w:val="Page Numbers (Bottom of Page)"/>
        <w:docPartUnique/>
      </w:docPartObj>
    </w:sdtPr>
    <w:sdtEndPr/>
    <w:sdtContent>
      <w:p w:rsidR="00141FB4" w:rsidRPr="004A3898" w:rsidRDefault="00F97C37" w:rsidP="00B20DAC">
        <w:pPr>
          <w:pStyle w:val="Footer"/>
          <w:jc w:val="center"/>
          <w:rPr>
            <w:rFonts w:ascii="Arial" w:hAnsi="Arial"/>
          </w:rPr>
        </w:pPr>
        <w:r w:rsidRPr="004A3898">
          <w:rPr>
            <w:rFonts w:ascii="Arial" w:hAnsi="Arial"/>
            <w:sz w:val="20"/>
            <w:szCs w:val="20"/>
          </w:rPr>
          <w:fldChar w:fldCharType="begin"/>
        </w:r>
        <w:r w:rsidR="0033117D" w:rsidRPr="004A3898">
          <w:rPr>
            <w:rFonts w:ascii="Arial" w:hAnsi="Arial"/>
            <w:sz w:val="20"/>
            <w:szCs w:val="20"/>
          </w:rPr>
          <w:instrText xml:space="preserve"> PAGE   \* MERGEFORMAT </w:instrText>
        </w:r>
        <w:r w:rsidRPr="004A3898">
          <w:rPr>
            <w:rFonts w:ascii="Arial" w:hAnsi="Arial"/>
            <w:sz w:val="20"/>
            <w:szCs w:val="20"/>
          </w:rPr>
          <w:fldChar w:fldCharType="separate"/>
        </w:r>
        <w:r w:rsidR="00397A05">
          <w:rPr>
            <w:rFonts w:ascii="Arial" w:hAnsi="Arial"/>
            <w:noProof/>
            <w:sz w:val="20"/>
            <w:szCs w:val="20"/>
          </w:rPr>
          <w:t>3</w:t>
        </w:r>
        <w:r w:rsidRPr="004A3898">
          <w:rPr>
            <w:rFonts w:ascii="Arial" w:hAnsi="Arial"/>
            <w:sz w:val="20"/>
            <w:szCs w:val="20"/>
          </w:rPr>
          <w:fldChar w:fldCharType="end"/>
        </w:r>
      </w:p>
    </w:sdtContent>
  </w:sdt>
  <w:p w:rsidR="00141FB4" w:rsidRPr="00581AD7" w:rsidRDefault="00581AD7">
    <w:pPr>
      <w:pStyle w:val="Footer"/>
      <w:rPr>
        <w:rFonts w:ascii="Arial" w:hAnsi="Arial"/>
        <w:sz w:val="16"/>
        <w:szCs w:val="16"/>
      </w:rPr>
    </w:pPr>
    <w:r w:rsidRPr="00581AD7">
      <w:rPr>
        <w:rFonts w:ascii="Arial" w:hAnsi="Arial"/>
        <w:sz w:val="16"/>
        <w:szCs w:val="16"/>
      </w:rPr>
      <w:t xml:space="preserve">Version 05/01/13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A1E" w:rsidRDefault="008F3A1E" w:rsidP="00E66929">
      <w:r>
        <w:separator/>
      </w:r>
    </w:p>
  </w:footnote>
  <w:footnote w:type="continuationSeparator" w:id="0">
    <w:p w:rsidR="008F3A1E" w:rsidRDefault="008F3A1E" w:rsidP="00E66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D7" w:rsidRPr="007134C9" w:rsidRDefault="00581AD7" w:rsidP="00581AD7">
    <w:pPr>
      <w:pStyle w:val="Header"/>
      <w:jc w:val="right"/>
      <w:rPr>
        <w:rFonts w:ascii="Arial" w:hAnsi="Arial"/>
        <w:sz w:val="16"/>
      </w:rPr>
    </w:pPr>
    <w:r w:rsidRPr="007134C9">
      <w:rPr>
        <w:rFonts w:ascii="Arial" w:hAnsi="Arial"/>
        <w:sz w:val="16"/>
      </w:rPr>
      <w:t xml:space="preserve">HIPAA FORM </w:t>
    </w:r>
    <w:r>
      <w:rPr>
        <w:rFonts w:ascii="Arial" w:hAnsi="Arial"/>
        <w:sz w:val="16"/>
      </w:rPr>
      <w:t>2</w:t>
    </w:r>
  </w:p>
  <w:p w:rsidR="00581AD7" w:rsidRDefault="00581AD7" w:rsidP="00581A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747D02"/>
    <w:lvl w:ilvl="0">
      <w:start w:val="1"/>
      <w:numFmt w:val="decimal"/>
      <w:lvlText w:val="%1."/>
      <w:lvlJc w:val="left"/>
      <w:pPr>
        <w:tabs>
          <w:tab w:val="num" w:pos="1800"/>
        </w:tabs>
        <w:ind w:left="1800" w:hanging="360"/>
      </w:pPr>
    </w:lvl>
  </w:abstractNum>
  <w:abstractNum w:abstractNumId="1">
    <w:nsid w:val="FFFFFF7D"/>
    <w:multiLevelType w:val="singleLevel"/>
    <w:tmpl w:val="8D2EAC56"/>
    <w:lvl w:ilvl="0">
      <w:start w:val="1"/>
      <w:numFmt w:val="decimal"/>
      <w:lvlText w:val="%1."/>
      <w:lvlJc w:val="left"/>
      <w:pPr>
        <w:tabs>
          <w:tab w:val="num" w:pos="1440"/>
        </w:tabs>
        <w:ind w:left="1440" w:hanging="360"/>
      </w:pPr>
    </w:lvl>
  </w:abstractNum>
  <w:abstractNum w:abstractNumId="2">
    <w:nsid w:val="FFFFFF7E"/>
    <w:multiLevelType w:val="singleLevel"/>
    <w:tmpl w:val="36C8E8E2"/>
    <w:lvl w:ilvl="0">
      <w:start w:val="1"/>
      <w:numFmt w:val="decimal"/>
      <w:lvlText w:val="%1."/>
      <w:lvlJc w:val="left"/>
      <w:pPr>
        <w:tabs>
          <w:tab w:val="num" w:pos="1080"/>
        </w:tabs>
        <w:ind w:left="1080" w:hanging="360"/>
      </w:pPr>
    </w:lvl>
  </w:abstractNum>
  <w:abstractNum w:abstractNumId="3">
    <w:nsid w:val="FFFFFF7F"/>
    <w:multiLevelType w:val="singleLevel"/>
    <w:tmpl w:val="CBAC0296"/>
    <w:lvl w:ilvl="0">
      <w:start w:val="1"/>
      <w:numFmt w:val="decimal"/>
      <w:lvlText w:val="%1."/>
      <w:lvlJc w:val="left"/>
      <w:pPr>
        <w:tabs>
          <w:tab w:val="num" w:pos="720"/>
        </w:tabs>
        <w:ind w:left="720" w:hanging="360"/>
      </w:pPr>
    </w:lvl>
  </w:abstractNum>
  <w:abstractNum w:abstractNumId="4">
    <w:nsid w:val="FFFFFF80"/>
    <w:multiLevelType w:val="singleLevel"/>
    <w:tmpl w:val="466CFF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BC8A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5C4B3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565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B0CAA32"/>
    <w:lvl w:ilvl="0">
      <w:start w:val="1"/>
      <w:numFmt w:val="decimal"/>
      <w:lvlText w:val="%1."/>
      <w:lvlJc w:val="left"/>
      <w:pPr>
        <w:tabs>
          <w:tab w:val="num" w:pos="360"/>
        </w:tabs>
        <w:ind w:left="360" w:hanging="360"/>
      </w:pPr>
    </w:lvl>
  </w:abstractNum>
  <w:abstractNum w:abstractNumId="9">
    <w:nsid w:val="FFFFFF89"/>
    <w:multiLevelType w:val="singleLevel"/>
    <w:tmpl w:val="8E528110"/>
    <w:lvl w:ilvl="0">
      <w:start w:val="1"/>
      <w:numFmt w:val="bullet"/>
      <w:lvlText w:val=""/>
      <w:lvlJc w:val="left"/>
      <w:pPr>
        <w:tabs>
          <w:tab w:val="num" w:pos="360"/>
        </w:tabs>
        <w:ind w:left="360" w:hanging="360"/>
      </w:pPr>
      <w:rPr>
        <w:rFonts w:ascii="Symbol" w:hAnsi="Symbol" w:hint="default"/>
      </w:rPr>
    </w:lvl>
  </w:abstractNum>
  <w:abstractNum w:abstractNumId="10">
    <w:nsid w:val="20FC16C8"/>
    <w:multiLevelType w:val="multilevel"/>
    <w:tmpl w:val="09F425F8"/>
    <w:name w:val="zzmpStandard||Standard|2|3|1|1|4|9||1|4|1||1|4|1||1|4|1||1|4|0||1|4|0||1|4|0||1|4|0||1|4|0||"/>
    <w:lvl w:ilvl="0">
      <w:start w:val="1"/>
      <w:numFmt w:val="decimal"/>
      <w:pStyle w:val="StandardL1"/>
      <w:lvlText w:val="%1."/>
      <w:lvlJc w:val="left"/>
      <w:pPr>
        <w:tabs>
          <w:tab w:val="num" w:pos="720"/>
        </w:tabs>
        <w:ind w:left="0" w:firstLine="0"/>
      </w:pPr>
      <w:rPr>
        <w:rFonts w:ascii="Arial" w:hAnsi="Arial" w:cs="Arial"/>
        <w:b w:val="0"/>
        <w:i w:val="0"/>
        <w:caps w:val="0"/>
        <w:color w:val="auto"/>
        <w:sz w:val="22"/>
        <w:u w:val="none"/>
      </w:rPr>
    </w:lvl>
    <w:lvl w:ilvl="1">
      <w:start w:val="1"/>
      <w:numFmt w:val="lowerLetter"/>
      <w:lvlRestart w:val="0"/>
      <w:pStyle w:val="StandardL2"/>
      <w:lvlText w:val="(%2)"/>
      <w:lvlJc w:val="left"/>
      <w:pPr>
        <w:tabs>
          <w:tab w:val="num" w:pos="1440"/>
        </w:tabs>
        <w:ind w:left="0" w:firstLine="720"/>
      </w:pPr>
      <w:rPr>
        <w:rFonts w:ascii="Arial" w:hAnsi="Arial" w:cs="Arial"/>
        <w:b w:val="0"/>
        <w:i w:val="0"/>
        <w:caps w:val="0"/>
        <w:color w:val="auto"/>
        <w:sz w:val="22"/>
        <w:u w:val="none"/>
      </w:rPr>
    </w:lvl>
    <w:lvl w:ilvl="2">
      <w:start w:val="1"/>
      <w:numFmt w:val="lowerRoman"/>
      <w:pStyle w:val="StandardL3"/>
      <w:lvlText w:val="(%3)"/>
      <w:lvlJc w:val="left"/>
      <w:pPr>
        <w:tabs>
          <w:tab w:val="num" w:pos="2160"/>
        </w:tabs>
        <w:ind w:left="0" w:firstLine="1440"/>
      </w:pPr>
      <w:rPr>
        <w:rFonts w:ascii="Arial" w:hAnsi="Arial" w:cs="Arial"/>
        <w:b w:val="0"/>
        <w:i w:val="0"/>
        <w:caps w:val="0"/>
        <w:color w:val="auto"/>
        <w:sz w:val="22"/>
        <w:u w:val="none"/>
      </w:rPr>
    </w:lvl>
    <w:lvl w:ilvl="3">
      <w:start w:val="1"/>
      <w:numFmt w:val="decimal"/>
      <w:pStyle w:val="StandardL4"/>
      <w:lvlText w:val="(%4)"/>
      <w:lvlJc w:val="left"/>
      <w:pPr>
        <w:tabs>
          <w:tab w:val="num" w:pos="2880"/>
        </w:tabs>
        <w:ind w:left="0" w:firstLine="2160"/>
      </w:pPr>
      <w:rPr>
        <w:rFonts w:ascii="Times New Roman" w:hAnsi="Times New Roman" w:cs="Times New Roman"/>
        <w:b w:val="0"/>
        <w:i w:val="0"/>
        <w:caps w:val="0"/>
        <w:color w:val="auto"/>
        <w:u w:val="none"/>
      </w:rPr>
    </w:lvl>
    <w:lvl w:ilvl="4">
      <w:start w:val="1"/>
      <w:numFmt w:val="lowerLetter"/>
      <w:pStyle w:val="StandardL5"/>
      <w:lvlText w:val="%5."/>
      <w:lvlJc w:val="left"/>
      <w:pPr>
        <w:tabs>
          <w:tab w:val="num" w:pos="3600"/>
        </w:tabs>
        <w:ind w:left="0" w:firstLine="288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0" w:firstLine="360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0" w:firstLine="43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11">
    <w:nsid w:val="56D860B4"/>
    <w:multiLevelType w:val="multilevel"/>
    <w:tmpl w:val="F9ACE5C6"/>
    <w:lvl w:ilvl="0">
      <w:start w:val="1"/>
      <w:numFmt w:val="decimal"/>
      <w:lvlText w:val="%1."/>
      <w:lvlJc w:val="left"/>
      <w:pPr>
        <w:tabs>
          <w:tab w:val="num" w:pos="360"/>
        </w:tabs>
        <w:ind w:left="0" w:firstLine="0"/>
      </w:pPr>
    </w:lvl>
    <w:lvl w:ilvl="1">
      <w:start w:val="1"/>
      <w:numFmt w:val="lowerLetter"/>
      <w:lvlText w:val="%2)"/>
      <w:lvlJc w:val="left"/>
      <w:pPr>
        <w:tabs>
          <w:tab w:val="num" w:pos="1080"/>
        </w:tabs>
        <w:ind w:left="720" w:firstLine="0"/>
      </w:pPr>
      <w:rPr>
        <w:b/>
      </w:rPr>
    </w:lvl>
    <w:lvl w:ilvl="2">
      <w:start w:val="1"/>
      <w:numFmt w:val="lowerRoman"/>
      <w:lvlText w:val="%3)"/>
      <w:lvlJc w:val="left"/>
      <w:pPr>
        <w:tabs>
          <w:tab w:val="num" w:pos="2160"/>
        </w:tabs>
        <w:ind w:left="1440" w:firstLine="0"/>
      </w:pPr>
    </w:lvl>
    <w:lvl w:ilvl="3">
      <w:start w:val="1"/>
      <w:numFmt w:val="upp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nsid w:val="649D342E"/>
    <w:multiLevelType w:val="hybridMultilevel"/>
    <w:tmpl w:val="25DA746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MPDocID" w:val="QB\21426749.1"/>
    <w:docVar w:name="MPDocIDTemplate" w:val="QB\|%n|.%v"/>
    <w:docVar w:name="MPDocIDTemplateDefault" w:val="QB\|%n|.%v"/>
    <w:docVar w:name="NewDocStampType" w:val="2"/>
  </w:docVars>
  <w:rsids>
    <w:rsidRoot w:val="00941A20"/>
    <w:rsid w:val="00002875"/>
    <w:rsid w:val="00002BA3"/>
    <w:rsid w:val="000046F0"/>
    <w:rsid w:val="00005167"/>
    <w:rsid w:val="00013020"/>
    <w:rsid w:val="00037402"/>
    <w:rsid w:val="00051F98"/>
    <w:rsid w:val="00054F42"/>
    <w:rsid w:val="000653DB"/>
    <w:rsid w:val="00065C73"/>
    <w:rsid w:val="00070954"/>
    <w:rsid w:val="00077196"/>
    <w:rsid w:val="0008400E"/>
    <w:rsid w:val="000918F8"/>
    <w:rsid w:val="000A0CF6"/>
    <w:rsid w:val="000A68E6"/>
    <w:rsid w:val="000A7DC6"/>
    <w:rsid w:val="000B0AA3"/>
    <w:rsid w:val="000E34A3"/>
    <w:rsid w:val="000E492F"/>
    <w:rsid w:val="000F085B"/>
    <w:rsid w:val="000F21F2"/>
    <w:rsid w:val="000F37EE"/>
    <w:rsid w:val="000F5552"/>
    <w:rsid w:val="001011D3"/>
    <w:rsid w:val="0010281D"/>
    <w:rsid w:val="00103AF7"/>
    <w:rsid w:val="0011647A"/>
    <w:rsid w:val="001226CF"/>
    <w:rsid w:val="00130B7B"/>
    <w:rsid w:val="00136D2D"/>
    <w:rsid w:val="00141FB4"/>
    <w:rsid w:val="00143A17"/>
    <w:rsid w:val="00147704"/>
    <w:rsid w:val="001511B2"/>
    <w:rsid w:val="001511C8"/>
    <w:rsid w:val="00155C6E"/>
    <w:rsid w:val="0016281A"/>
    <w:rsid w:val="001649F4"/>
    <w:rsid w:val="00166BA0"/>
    <w:rsid w:val="00170B87"/>
    <w:rsid w:val="0018034D"/>
    <w:rsid w:val="0018126D"/>
    <w:rsid w:val="0018607C"/>
    <w:rsid w:val="00193F1D"/>
    <w:rsid w:val="0019494B"/>
    <w:rsid w:val="001A00B5"/>
    <w:rsid w:val="001A1376"/>
    <w:rsid w:val="001B09B1"/>
    <w:rsid w:val="001C7381"/>
    <w:rsid w:val="001C7959"/>
    <w:rsid w:val="001D1450"/>
    <w:rsid w:val="001D5BB4"/>
    <w:rsid w:val="001E01E6"/>
    <w:rsid w:val="001E36D5"/>
    <w:rsid w:val="001E6DFD"/>
    <w:rsid w:val="001F1581"/>
    <w:rsid w:val="001F17DE"/>
    <w:rsid w:val="002018B8"/>
    <w:rsid w:val="002026C7"/>
    <w:rsid w:val="002051F8"/>
    <w:rsid w:val="0021053C"/>
    <w:rsid w:val="00214C0F"/>
    <w:rsid w:val="0021586F"/>
    <w:rsid w:val="00216E9C"/>
    <w:rsid w:val="002172BE"/>
    <w:rsid w:val="00224D88"/>
    <w:rsid w:val="002277A0"/>
    <w:rsid w:val="002422C2"/>
    <w:rsid w:val="00255082"/>
    <w:rsid w:val="00260F81"/>
    <w:rsid w:val="0027443B"/>
    <w:rsid w:val="002757BA"/>
    <w:rsid w:val="002917CB"/>
    <w:rsid w:val="00297B2E"/>
    <w:rsid w:val="002A6959"/>
    <w:rsid w:val="002A7806"/>
    <w:rsid w:val="002B3700"/>
    <w:rsid w:val="002C6D54"/>
    <w:rsid w:val="002D07AD"/>
    <w:rsid w:val="002E33C3"/>
    <w:rsid w:val="002E4D92"/>
    <w:rsid w:val="002F4B50"/>
    <w:rsid w:val="002F6972"/>
    <w:rsid w:val="00306C15"/>
    <w:rsid w:val="00324017"/>
    <w:rsid w:val="003243D6"/>
    <w:rsid w:val="003274C9"/>
    <w:rsid w:val="00327E9D"/>
    <w:rsid w:val="0033117D"/>
    <w:rsid w:val="00335C4B"/>
    <w:rsid w:val="00337270"/>
    <w:rsid w:val="00340695"/>
    <w:rsid w:val="00353823"/>
    <w:rsid w:val="003555AC"/>
    <w:rsid w:val="0036217A"/>
    <w:rsid w:val="00362AA0"/>
    <w:rsid w:val="00365960"/>
    <w:rsid w:val="003659F9"/>
    <w:rsid w:val="0036646B"/>
    <w:rsid w:val="00366708"/>
    <w:rsid w:val="00371ED2"/>
    <w:rsid w:val="003819E0"/>
    <w:rsid w:val="003857D7"/>
    <w:rsid w:val="00386621"/>
    <w:rsid w:val="00386EDA"/>
    <w:rsid w:val="00397A05"/>
    <w:rsid w:val="003A1E54"/>
    <w:rsid w:val="003A337F"/>
    <w:rsid w:val="003B127D"/>
    <w:rsid w:val="003B4C41"/>
    <w:rsid w:val="003B56D4"/>
    <w:rsid w:val="003C6AF5"/>
    <w:rsid w:val="003E23B5"/>
    <w:rsid w:val="003F3102"/>
    <w:rsid w:val="003F4A95"/>
    <w:rsid w:val="004028EF"/>
    <w:rsid w:val="0040426A"/>
    <w:rsid w:val="004054C1"/>
    <w:rsid w:val="00416D24"/>
    <w:rsid w:val="00423DCD"/>
    <w:rsid w:val="00430311"/>
    <w:rsid w:val="00432851"/>
    <w:rsid w:val="00436D28"/>
    <w:rsid w:val="00451D17"/>
    <w:rsid w:val="00453DB9"/>
    <w:rsid w:val="00454E68"/>
    <w:rsid w:val="004628FC"/>
    <w:rsid w:val="00492E5D"/>
    <w:rsid w:val="00494A44"/>
    <w:rsid w:val="004A2C15"/>
    <w:rsid w:val="004A3898"/>
    <w:rsid w:val="004A40D2"/>
    <w:rsid w:val="004C0D07"/>
    <w:rsid w:val="004D62FE"/>
    <w:rsid w:val="004D65CF"/>
    <w:rsid w:val="004F1990"/>
    <w:rsid w:val="00503702"/>
    <w:rsid w:val="00504B98"/>
    <w:rsid w:val="0050593B"/>
    <w:rsid w:val="0051296F"/>
    <w:rsid w:val="005164B5"/>
    <w:rsid w:val="0052199C"/>
    <w:rsid w:val="00532F31"/>
    <w:rsid w:val="00533A97"/>
    <w:rsid w:val="005342AF"/>
    <w:rsid w:val="0053469C"/>
    <w:rsid w:val="005404DD"/>
    <w:rsid w:val="00540C1E"/>
    <w:rsid w:val="00550CC7"/>
    <w:rsid w:val="005512FB"/>
    <w:rsid w:val="00556C34"/>
    <w:rsid w:val="00564325"/>
    <w:rsid w:val="00565D3A"/>
    <w:rsid w:val="005810F6"/>
    <w:rsid w:val="00581AD7"/>
    <w:rsid w:val="005841E7"/>
    <w:rsid w:val="0059281E"/>
    <w:rsid w:val="00595328"/>
    <w:rsid w:val="00596F2E"/>
    <w:rsid w:val="0059715D"/>
    <w:rsid w:val="005A0DC7"/>
    <w:rsid w:val="005A1922"/>
    <w:rsid w:val="005B0443"/>
    <w:rsid w:val="005B0CC1"/>
    <w:rsid w:val="005B5705"/>
    <w:rsid w:val="005B5C68"/>
    <w:rsid w:val="005C0888"/>
    <w:rsid w:val="005C7001"/>
    <w:rsid w:val="005E0977"/>
    <w:rsid w:val="005E50F8"/>
    <w:rsid w:val="005F6C4B"/>
    <w:rsid w:val="00605802"/>
    <w:rsid w:val="00612132"/>
    <w:rsid w:val="0063005A"/>
    <w:rsid w:val="006339CE"/>
    <w:rsid w:val="006355B3"/>
    <w:rsid w:val="006418B6"/>
    <w:rsid w:val="00643051"/>
    <w:rsid w:val="00643C3F"/>
    <w:rsid w:val="00652071"/>
    <w:rsid w:val="0065423F"/>
    <w:rsid w:val="006575C3"/>
    <w:rsid w:val="00662258"/>
    <w:rsid w:val="00662935"/>
    <w:rsid w:val="00665A40"/>
    <w:rsid w:val="006661CE"/>
    <w:rsid w:val="00667FEB"/>
    <w:rsid w:val="00670290"/>
    <w:rsid w:val="00671463"/>
    <w:rsid w:val="00677DE9"/>
    <w:rsid w:val="006843AA"/>
    <w:rsid w:val="00685E5F"/>
    <w:rsid w:val="006A7796"/>
    <w:rsid w:val="006A7A81"/>
    <w:rsid w:val="006B5669"/>
    <w:rsid w:val="006B7C33"/>
    <w:rsid w:val="006C5749"/>
    <w:rsid w:val="006C68F5"/>
    <w:rsid w:val="006D0428"/>
    <w:rsid w:val="006D09A4"/>
    <w:rsid w:val="006D138F"/>
    <w:rsid w:val="006D3EF2"/>
    <w:rsid w:val="006E37C0"/>
    <w:rsid w:val="006E7111"/>
    <w:rsid w:val="006F69B3"/>
    <w:rsid w:val="007009B6"/>
    <w:rsid w:val="00700CA8"/>
    <w:rsid w:val="00705A17"/>
    <w:rsid w:val="00705A4D"/>
    <w:rsid w:val="007072BE"/>
    <w:rsid w:val="007167BB"/>
    <w:rsid w:val="00720C2F"/>
    <w:rsid w:val="0072201D"/>
    <w:rsid w:val="00724345"/>
    <w:rsid w:val="0072541D"/>
    <w:rsid w:val="00726091"/>
    <w:rsid w:val="007302B6"/>
    <w:rsid w:val="00733561"/>
    <w:rsid w:val="0073508D"/>
    <w:rsid w:val="007374D3"/>
    <w:rsid w:val="00737F11"/>
    <w:rsid w:val="00741AE1"/>
    <w:rsid w:val="00743D0A"/>
    <w:rsid w:val="00746ED9"/>
    <w:rsid w:val="0074709A"/>
    <w:rsid w:val="007471BA"/>
    <w:rsid w:val="0076164C"/>
    <w:rsid w:val="007750A1"/>
    <w:rsid w:val="00776D0B"/>
    <w:rsid w:val="0078217E"/>
    <w:rsid w:val="007919C0"/>
    <w:rsid w:val="00792CD1"/>
    <w:rsid w:val="00797F06"/>
    <w:rsid w:val="007A0DAE"/>
    <w:rsid w:val="007A3211"/>
    <w:rsid w:val="007B6A40"/>
    <w:rsid w:val="007C7B17"/>
    <w:rsid w:val="007D7B4B"/>
    <w:rsid w:val="007E0EA5"/>
    <w:rsid w:val="007E6928"/>
    <w:rsid w:val="007F10B5"/>
    <w:rsid w:val="00800700"/>
    <w:rsid w:val="00803A4E"/>
    <w:rsid w:val="0080521A"/>
    <w:rsid w:val="00826F6F"/>
    <w:rsid w:val="00834574"/>
    <w:rsid w:val="00836C95"/>
    <w:rsid w:val="00841386"/>
    <w:rsid w:val="0084496A"/>
    <w:rsid w:val="00846BD4"/>
    <w:rsid w:val="00852C51"/>
    <w:rsid w:val="00857899"/>
    <w:rsid w:val="008644DB"/>
    <w:rsid w:val="008723E1"/>
    <w:rsid w:val="00875F8C"/>
    <w:rsid w:val="00882F5B"/>
    <w:rsid w:val="00883C43"/>
    <w:rsid w:val="00890B76"/>
    <w:rsid w:val="008A0FB6"/>
    <w:rsid w:val="008A204F"/>
    <w:rsid w:val="008B7880"/>
    <w:rsid w:val="008C32A8"/>
    <w:rsid w:val="008C5497"/>
    <w:rsid w:val="008C5664"/>
    <w:rsid w:val="008C5D3A"/>
    <w:rsid w:val="008E2208"/>
    <w:rsid w:val="008E6629"/>
    <w:rsid w:val="008F1ADF"/>
    <w:rsid w:val="008F25F7"/>
    <w:rsid w:val="008F30AE"/>
    <w:rsid w:val="008F3A1E"/>
    <w:rsid w:val="008F4BE4"/>
    <w:rsid w:val="008F509F"/>
    <w:rsid w:val="00900AFD"/>
    <w:rsid w:val="00901A16"/>
    <w:rsid w:val="0090623A"/>
    <w:rsid w:val="0091234F"/>
    <w:rsid w:val="00912579"/>
    <w:rsid w:val="009157A6"/>
    <w:rsid w:val="009160AF"/>
    <w:rsid w:val="009167CA"/>
    <w:rsid w:val="00920D8A"/>
    <w:rsid w:val="00941A20"/>
    <w:rsid w:val="00941D6E"/>
    <w:rsid w:val="009423C0"/>
    <w:rsid w:val="00950428"/>
    <w:rsid w:val="00950E5E"/>
    <w:rsid w:val="00951439"/>
    <w:rsid w:val="00953EDA"/>
    <w:rsid w:val="009627A3"/>
    <w:rsid w:val="00965A6F"/>
    <w:rsid w:val="00965BE9"/>
    <w:rsid w:val="009701A6"/>
    <w:rsid w:val="009730D2"/>
    <w:rsid w:val="00974F2E"/>
    <w:rsid w:val="00976B21"/>
    <w:rsid w:val="00990149"/>
    <w:rsid w:val="0099138A"/>
    <w:rsid w:val="009A2809"/>
    <w:rsid w:val="009B0D61"/>
    <w:rsid w:val="009B17EC"/>
    <w:rsid w:val="009B5681"/>
    <w:rsid w:val="009C01E0"/>
    <w:rsid w:val="009C16DC"/>
    <w:rsid w:val="009C7E8A"/>
    <w:rsid w:val="009D1D00"/>
    <w:rsid w:val="009D3363"/>
    <w:rsid w:val="009D659C"/>
    <w:rsid w:val="009E51D5"/>
    <w:rsid w:val="009E69D9"/>
    <w:rsid w:val="009E7E76"/>
    <w:rsid w:val="009F2238"/>
    <w:rsid w:val="009F2DC1"/>
    <w:rsid w:val="009F3A2A"/>
    <w:rsid w:val="009F3DA3"/>
    <w:rsid w:val="009F657C"/>
    <w:rsid w:val="00A032C6"/>
    <w:rsid w:val="00A048CA"/>
    <w:rsid w:val="00A0746F"/>
    <w:rsid w:val="00A07697"/>
    <w:rsid w:val="00A10A94"/>
    <w:rsid w:val="00A10CB5"/>
    <w:rsid w:val="00A111AD"/>
    <w:rsid w:val="00A13262"/>
    <w:rsid w:val="00A15D0F"/>
    <w:rsid w:val="00A20E16"/>
    <w:rsid w:val="00A21A4C"/>
    <w:rsid w:val="00A25BF9"/>
    <w:rsid w:val="00A36267"/>
    <w:rsid w:val="00A520FA"/>
    <w:rsid w:val="00A55EDA"/>
    <w:rsid w:val="00A57737"/>
    <w:rsid w:val="00A6537A"/>
    <w:rsid w:val="00A723EF"/>
    <w:rsid w:val="00A74D1B"/>
    <w:rsid w:val="00A763D5"/>
    <w:rsid w:val="00A7678E"/>
    <w:rsid w:val="00A9219E"/>
    <w:rsid w:val="00A97949"/>
    <w:rsid w:val="00AA03B8"/>
    <w:rsid w:val="00AA15A3"/>
    <w:rsid w:val="00AB3048"/>
    <w:rsid w:val="00AC2F59"/>
    <w:rsid w:val="00AC47A1"/>
    <w:rsid w:val="00AD4D04"/>
    <w:rsid w:val="00AE1E17"/>
    <w:rsid w:val="00AF487E"/>
    <w:rsid w:val="00AF5496"/>
    <w:rsid w:val="00B027D7"/>
    <w:rsid w:val="00B13E4A"/>
    <w:rsid w:val="00B17035"/>
    <w:rsid w:val="00B177DD"/>
    <w:rsid w:val="00B20DAC"/>
    <w:rsid w:val="00B22F8B"/>
    <w:rsid w:val="00B3272F"/>
    <w:rsid w:val="00B40573"/>
    <w:rsid w:val="00B40B2A"/>
    <w:rsid w:val="00B4260A"/>
    <w:rsid w:val="00B42CEA"/>
    <w:rsid w:val="00B47817"/>
    <w:rsid w:val="00B526A5"/>
    <w:rsid w:val="00B54A53"/>
    <w:rsid w:val="00B56F30"/>
    <w:rsid w:val="00B62A2D"/>
    <w:rsid w:val="00B67015"/>
    <w:rsid w:val="00B72EA5"/>
    <w:rsid w:val="00B74B77"/>
    <w:rsid w:val="00B750C5"/>
    <w:rsid w:val="00B76B90"/>
    <w:rsid w:val="00B77EA5"/>
    <w:rsid w:val="00B82862"/>
    <w:rsid w:val="00B8386A"/>
    <w:rsid w:val="00B85E4D"/>
    <w:rsid w:val="00B87BC5"/>
    <w:rsid w:val="00B96897"/>
    <w:rsid w:val="00B9698D"/>
    <w:rsid w:val="00BA558C"/>
    <w:rsid w:val="00BB028C"/>
    <w:rsid w:val="00BB394B"/>
    <w:rsid w:val="00BC1E98"/>
    <w:rsid w:val="00BD7204"/>
    <w:rsid w:val="00BE7709"/>
    <w:rsid w:val="00BF64A7"/>
    <w:rsid w:val="00BF6989"/>
    <w:rsid w:val="00BF6BC9"/>
    <w:rsid w:val="00C0004A"/>
    <w:rsid w:val="00C012F2"/>
    <w:rsid w:val="00C15471"/>
    <w:rsid w:val="00C2336C"/>
    <w:rsid w:val="00C318FD"/>
    <w:rsid w:val="00C3272C"/>
    <w:rsid w:val="00C466AD"/>
    <w:rsid w:val="00C50D39"/>
    <w:rsid w:val="00C521E2"/>
    <w:rsid w:val="00C62289"/>
    <w:rsid w:val="00C755C2"/>
    <w:rsid w:val="00C82B48"/>
    <w:rsid w:val="00C84E64"/>
    <w:rsid w:val="00C8538E"/>
    <w:rsid w:val="00C91D3F"/>
    <w:rsid w:val="00C93857"/>
    <w:rsid w:val="00C95E00"/>
    <w:rsid w:val="00C97B5E"/>
    <w:rsid w:val="00CA6F5F"/>
    <w:rsid w:val="00CB056C"/>
    <w:rsid w:val="00CB32A9"/>
    <w:rsid w:val="00CC00BF"/>
    <w:rsid w:val="00CC18E3"/>
    <w:rsid w:val="00CC448A"/>
    <w:rsid w:val="00CC50CE"/>
    <w:rsid w:val="00CD0233"/>
    <w:rsid w:val="00CD395B"/>
    <w:rsid w:val="00CD3EF4"/>
    <w:rsid w:val="00CE306A"/>
    <w:rsid w:val="00CE65D7"/>
    <w:rsid w:val="00CF53DA"/>
    <w:rsid w:val="00CF7C64"/>
    <w:rsid w:val="00D03F28"/>
    <w:rsid w:val="00D078A0"/>
    <w:rsid w:val="00D10FAF"/>
    <w:rsid w:val="00D25911"/>
    <w:rsid w:val="00D26EEA"/>
    <w:rsid w:val="00D33C74"/>
    <w:rsid w:val="00D37F07"/>
    <w:rsid w:val="00D41284"/>
    <w:rsid w:val="00D52590"/>
    <w:rsid w:val="00D54BA3"/>
    <w:rsid w:val="00D628D0"/>
    <w:rsid w:val="00D768A7"/>
    <w:rsid w:val="00D77427"/>
    <w:rsid w:val="00D83834"/>
    <w:rsid w:val="00D8649F"/>
    <w:rsid w:val="00D91FC7"/>
    <w:rsid w:val="00DB011D"/>
    <w:rsid w:val="00DB58F7"/>
    <w:rsid w:val="00DC160E"/>
    <w:rsid w:val="00DC1EE3"/>
    <w:rsid w:val="00DD59DB"/>
    <w:rsid w:val="00DE06DF"/>
    <w:rsid w:val="00DE1218"/>
    <w:rsid w:val="00DE77EE"/>
    <w:rsid w:val="00DF1BC0"/>
    <w:rsid w:val="00E0303E"/>
    <w:rsid w:val="00E07974"/>
    <w:rsid w:val="00E12CE9"/>
    <w:rsid w:val="00E14388"/>
    <w:rsid w:val="00E14AC3"/>
    <w:rsid w:val="00E1788E"/>
    <w:rsid w:val="00E24050"/>
    <w:rsid w:val="00E353EC"/>
    <w:rsid w:val="00E52882"/>
    <w:rsid w:val="00E56FB1"/>
    <w:rsid w:val="00E57D9B"/>
    <w:rsid w:val="00E66929"/>
    <w:rsid w:val="00E67752"/>
    <w:rsid w:val="00E72E0D"/>
    <w:rsid w:val="00E8091F"/>
    <w:rsid w:val="00E84D32"/>
    <w:rsid w:val="00E91AD3"/>
    <w:rsid w:val="00E96CFE"/>
    <w:rsid w:val="00E96FE3"/>
    <w:rsid w:val="00E97765"/>
    <w:rsid w:val="00EB3530"/>
    <w:rsid w:val="00EB7961"/>
    <w:rsid w:val="00ED3B03"/>
    <w:rsid w:val="00ED3E71"/>
    <w:rsid w:val="00ED3E8F"/>
    <w:rsid w:val="00ED3FDD"/>
    <w:rsid w:val="00EE31AD"/>
    <w:rsid w:val="00EE405C"/>
    <w:rsid w:val="00EE46B0"/>
    <w:rsid w:val="00EF025F"/>
    <w:rsid w:val="00EF26BC"/>
    <w:rsid w:val="00F015E7"/>
    <w:rsid w:val="00F02A7F"/>
    <w:rsid w:val="00F047DA"/>
    <w:rsid w:val="00F16625"/>
    <w:rsid w:val="00F2688D"/>
    <w:rsid w:val="00F30375"/>
    <w:rsid w:val="00F31AAC"/>
    <w:rsid w:val="00F33718"/>
    <w:rsid w:val="00F5403C"/>
    <w:rsid w:val="00F557C6"/>
    <w:rsid w:val="00F6038E"/>
    <w:rsid w:val="00F61636"/>
    <w:rsid w:val="00F62148"/>
    <w:rsid w:val="00F655B2"/>
    <w:rsid w:val="00F65E2F"/>
    <w:rsid w:val="00F76501"/>
    <w:rsid w:val="00F775F8"/>
    <w:rsid w:val="00F80475"/>
    <w:rsid w:val="00F83328"/>
    <w:rsid w:val="00F92B9D"/>
    <w:rsid w:val="00F97286"/>
    <w:rsid w:val="00F97C37"/>
    <w:rsid w:val="00FA2DF6"/>
    <w:rsid w:val="00FA31C5"/>
    <w:rsid w:val="00FA3CEE"/>
    <w:rsid w:val="00FA7DAE"/>
    <w:rsid w:val="00FB2853"/>
    <w:rsid w:val="00FB34D4"/>
    <w:rsid w:val="00FC1BE9"/>
    <w:rsid w:val="00FC4DF1"/>
    <w:rsid w:val="00FD6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4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ontinued">
    <w:name w:val="Body Text Continued"/>
    <w:basedOn w:val="BodyText"/>
    <w:next w:val="BodyText"/>
    <w:rsid w:val="0018034D"/>
    <w:rPr>
      <w:szCs w:val="20"/>
    </w:rPr>
  </w:style>
  <w:style w:type="paragraph" w:styleId="Title">
    <w:name w:val="Title"/>
    <w:basedOn w:val="Normal"/>
    <w:link w:val="TitleChar"/>
    <w:qFormat/>
    <w:rsid w:val="0018034D"/>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002BA3"/>
    <w:rPr>
      <w:rFonts w:ascii="Times New Roman" w:eastAsia="Times New Roman" w:hAnsi="Times New Roman" w:cs="Arial"/>
      <w:b/>
      <w:bCs/>
      <w:kern w:val="28"/>
      <w:sz w:val="32"/>
      <w:szCs w:val="32"/>
      <w:lang w:eastAsia="en-US"/>
    </w:rPr>
  </w:style>
  <w:style w:type="paragraph" w:styleId="BodyText">
    <w:name w:val="Body Text"/>
    <w:basedOn w:val="Normal"/>
    <w:link w:val="BodyTextChar"/>
    <w:rsid w:val="0018034D"/>
    <w:pPr>
      <w:spacing w:after="120"/>
    </w:pPr>
  </w:style>
  <w:style w:type="character" w:customStyle="1" w:styleId="BodyTextChar">
    <w:name w:val="Body Text Char"/>
    <w:basedOn w:val="DefaultParagraphFont"/>
    <w:link w:val="BodyText"/>
    <w:rsid w:val="00002BA3"/>
    <w:rPr>
      <w:rFonts w:ascii="Times New Roman" w:eastAsia="Times New Roman" w:hAnsi="Times New Roman" w:cs="Times New Roman"/>
      <w:sz w:val="24"/>
      <w:szCs w:val="24"/>
      <w:lang w:eastAsia="en-US"/>
    </w:rPr>
  </w:style>
  <w:style w:type="paragraph" w:styleId="BodyTextFirstIndent">
    <w:name w:val="Body Text First Indent"/>
    <w:basedOn w:val="BodyText"/>
    <w:link w:val="BodyTextFirstIndentChar"/>
    <w:rsid w:val="0018034D"/>
    <w:pPr>
      <w:ind w:firstLine="210"/>
    </w:pPr>
  </w:style>
  <w:style w:type="character" w:customStyle="1" w:styleId="BodyTextFirstIndentChar">
    <w:name w:val="Body Text First Indent Char"/>
    <w:basedOn w:val="BodyTextChar"/>
    <w:link w:val="BodyTextFirstIndent"/>
    <w:rsid w:val="00002BA3"/>
    <w:rPr>
      <w:rFonts w:ascii="Times New Roman" w:eastAsia="Times New Roman" w:hAnsi="Times New Roman" w:cs="Times New Roman"/>
      <w:sz w:val="24"/>
      <w:szCs w:val="24"/>
      <w:lang w:eastAsia="en-US"/>
    </w:rPr>
  </w:style>
  <w:style w:type="paragraph" w:styleId="Quote">
    <w:name w:val="Quote"/>
    <w:basedOn w:val="Normal"/>
    <w:next w:val="BodyTextContinued"/>
    <w:link w:val="QuoteChar"/>
    <w:qFormat/>
    <w:rsid w:val="0018034D"/>
    <w:pPr>
      <w:spacing w:after="240"/>
      <w:ind w:left="1440" w:right="1440"/>
    </w:pPr>
    <w:rPr>
      <w:szCs w:val="20"/>
    </w:rPr>
  </w:style>
  <w:style w:type="character" w:customStyle="1" w:styleId="QuoteChar">
    <w:name w:val="Quote Char"/>
    <w:basedOn w:val="DefaultParagraphFont"/>
    <w:link w:val="Quote"/>
    <w:rsid w:val="00002BA3"/>
    <w:rPr>
      <w:rFonts w:ascii="Times New Roman" w:eastAsia="Times New Roman" w:hAnsi="Times New Roman" w:cs="Times New Roman"/>
      <w:sz w:val="24"/>
      <w:szCs w:val="20"/>
      <w:lang w:eastAsia="en-US"/>
    </w:rPr>
  </w:style>
  <w:style w:type="paragraph" w:styleId="Header">
    <w:name w:val="header"/>
    <w:basedOn w:val="Normal"/>
    <w:link w:val="HeaderChar"/>
    <w:unhideWhenUsed/>
    <w:rsid w:val="00E66929"/>
    <w:pPr>
      <w:tabs>
        <w:tab w:val="center" w:pos="4680"/>
        <w:tab w:val="right" w:pos="9360"/>
      </w:tabs>
    </w:pPr>
  </w:style>
  <w:style w:type="character" w:customStyle="1" w:styleId="HeaderChar">
    <w:name w:val="Header Char"/>
    <w:basedOn w:val="DefaultParagraphFont"/>
    <w:link w:val="Header"/>
    <w:uiPriority w:val="99"/>
    <w:semiHidden/>
    <w:rsid w:val="00E66929"/>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E66929"/>
    <w:pPr>
      <w:tabs>
        <w:tab w:val="center" w:pos="4680"/>
        <w:tab w:val="right" w:pos="9360"/>
      </w:tabs>
    </w:pPr>
  </w:style>
  <w:style w:type="character" w:customStyle="1" w:styleId="FooterChar">
    <w:name w:val="Footer Char"/>
    <w:basedOn w:val="DefaultParagraphFont"/>
    <w:link w:val="Footer"/>
    <w:uiPriority w:val="99"/>
    <w:rsid w:val="00E66929"/>
    <w:rPr>
      <w:rFonts w:ascii="Times New Roman" w:eastAsia="Times New Roman" w:hAnsi="Times New Roman" w:cs="Times New Roman"/>
      <w:sz w:val="24"/>
      <w:szCs w:val="24"/>
      <w:lang w:eastAsia="en-US"/>
    </w:rPr>
  </w:style>
  <w:style w:type="table" w:styleId="TableGrid">
    <w:name w:val="Table Grid"/>
    <w:basedOn w:val="TableNormal"/>
    <w:uiPriority w:val="59"/>
    <w:rsid w:val="00707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L1">
    <w:name w:val="Standard_L1"/>
    <w:basedOn w:val="Normal"/>
    <w:next w:val="BodyText"/>
    <w:rsid w:val="007072BE"/>
    <w:pPr>
      <w:numPr>
        <w:numId w:val="11"/>
      </w:numPr>
      <w:spacing w:after="240"/>
      <w:outlineLvl w:val="0"/>
    </w:pPr>
    <w:rPr>
      <w:rFonts w:ascii="Arial" w:hAnsi="Arial" w:cs="Arial"/>
      <w:sz w:val="22"/>
      <w:szCs w:val="20"/>
    </w:rPr>
  </w:style>
  <w:style w:type="paragraph" w:customStyle="1" w:styleId="StandardL2">
    <w:name w:val="Standard_L2"/>
    <w:basedOn w:val="StandardL1"/>
    <w:next w:val="BodyText"/>
    <w:rsid w:val="007072BE"/>
    <w:pPr>
      <w:numPr>
        <w:ilvl w:val="1"/>
      </w:numPr>
      <w:outlineLvl w:val="1"/>
    </w:pPr>
  </w:style>
  <w:style w:type="paragraph" w:customStyle="1" w:styleId="StandardL3">
    <w:name w:val="Standard_L3"/>
    <w:basedOn w:val="StandardL2"/>
    <w:next w:val="BodyText"/>
    <w:rsid w:val="007072BE"/>
    <w:pPr>
      <w:numPr>
        <w:ilvl w:val="2"/>
      </w:numPr>
      <w:outlineLvl w:val="2"/>
    </w:pPr>
  </w:style>
  <w:style w:type="paragraph" w:customStyle="1" w:styleId="StandardL4">
    <w:name w:val="Standard_L4"/>
    <w:basedOn w:val="StandardL3"/>
    <w:next w:val="BodyText"/>
    <w:rsid w:val="007072BE"/>
    <w:pPr>
      <w:numPr>
        <w:ilvl w:val="3"/>
      </w:numPr>
      <w:outlineLvl w:val="3"/>
    </w:pPr>
    <w:rPr>
      <w:rFonts w:ascii="Times New Roman" w:hAnsi="Times New Roman" w:cs="Times New Roman"/>
      <w:sz w:val="24"/>
    </w:rPr>
  </w:style>
  <w:style w:type="paragraph" w:customStyle="1" w:styleId="StandardL5">
    <w:name w:val="Standard_L5"/>
    <w:basedOn w:val="StandardL4"/>
    <w:next w:val="BodyText"/>
    <w:rsid w:val="007072BE"/>
    <w:pPr>
      <w:numPr>
        <w:ilvl w:val="4"/>
      </w:numPr>
      <w:outlineLvl w:val="4"/>
    </w:pPr>
  </w:style>
  <w:style w:type="paragraph" w:customStyle="1" w:styleId="StandardL6">
    <w:name w:val="Standard_L6"/>
    <w:basedOn w:val="StandardL5"/>
    <w:next w:val="BodyText"/>
    <w:rsid w:val="007072BE"/>
    <w:pPr>
      <w:numPr>
        <w:ilvl w:val="5"/>
      </w:numPr>
      <w:outlineLvl w:val="5"/>
    </w:pPr>
  </w:style>
  <w:style w:type="paragraph" w:customStyle="1" w:styleId="StandardL7">
    <w:name w:val="Standard_L7"/>
    <w:basedOn w:val="StandardL6"/>
    <w:next w:val="BodyText"/>
    <w:rsid w:val="007072BE"/>
    <w:pPr>
      <w:numPr>
        <w:ilvl w:val="6"/>
      </w:numPr>
      <w:outlineLvl w:val="6"/>
    </w:pPr>
  </w:style>
  <w:style w:type="paragraph" w:customStyle="1" w:styleId="StandardL8">
    <w:name w:val="Standard_L8"/>
    <w:basedOn w:val="StandardL7"/>
    <w:next w:val="BodyText"/>
    <w:rsid w:val="007072BE"/>
    <w:pPr>
      <w:numPr>
        <w:ilvl w:val="7"/>
      </w:numPr>
      <w:outlineLvl w:val="7"/>
    </w:pPr>
  </w:style>
  <w:style w:type="paragraph" w:customStyle="1" w:styleId="StandardL9">
    <w:name w:val="Standard_L9"/>
    <w:basedOn w:val="StandardL8"/>
    <w:next w:val="BodyText"/>
    <w:rsid w:val="007072BE"/>
    <w:pPr>
      <w:numPr>
        <w:ilvl w:val="8"/>
      </w:numPr>
      <w:outlineLvl w:val="8"/>
    </w:pPr>
  </w:style>
  <w:style w:type="character" w:customStyle="1" w:styleId="zzmpTrailerItem">
    <w:name w:val="zzmpTrailerItem"/>
    <w:basedOn w:val="DefaultParagraphFont"/>
    <w:rsid w:val="00941D6E"/>
    <w:rPr>
      <w:rFonts w:ascii="Times New Roman" w:hAnsi="Times New Roman" w:cs="Times New Roman"/>
      <w:dstrike w:val="0"/>
      <w:noProof/>
      <w:color w:val="auto"/>
      <w:spacing w:val="0"/>
      <w:position w:val="0"/>
      <w:sz w:val="18"/>
      <w:szCs w:val="16"/>
      <w:u w:val="none"/>
      <w:effect w:val="none"/>
      <w:vertAlign w:val="baseline"/>
    </w:rPr>
  </w:style>
  <w:style w:type="paragraph" w:styleId="ListParagraph">
    <w:name w:val="List Paragraph"/>
    <w:basedOn w:val="Normal"/>
    <w:uiPriority w:val="34"/>
    <w:qFormat/>
    <w:rsid w:val="00503702"/>
    <w:pPr>
      <w:ind w:left="720"/>
      <w:contextualSpacing/>
    </w:pPr>
  </w:style>
  <w:style w:type="paragraph" w:styleId="BalloonText">
    <w:name w:val="Balloon Text"/>
    <w:basedOn w:val="Normal"/>
    <w:link w:val="BalloonTextChar"/>
    <w:uiPriority w:val="99"/>
    <w:semiHidden/>
    <w:unhideWhenUsed/>
    <w:rsid w:val="00581AD7"/>
    <w:rPr>
      <w:rFonts w:ascii="Tahoma" w:hAnsi="Tahoma" w:cs="Tahoma"/>
      <w:sz w:val="16"/>
      <w:szCs w:val="16"/>
    </w:rPr>
  </w:style>
  <w:style w:type="character" w:customStyle="1" w:styleId="BalloonTextChar">
    <w:name w:val="Balloon Text Char"/>
    <w:basedOn w:val="DefaultParagraphFont"/>
    <w:link w:val="BalloonText"/>
    <w:uiPriority w:val="99"/>
    <w:semiHidden/>
    <w:rsid w:val="00581AD7"/>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Quarles &amp; Brady, LLP</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jbarlame</dc:creator>
  <cp:keywords/>
  <dc:description/>
  <cp:lastModifiedBy>Walter, Ron</cp:lastModifiedBy>
  <cp:revision>10</cp:revision>
  <cp:lastPrinted>2013-06-03T21:47:00Z</cp:lastPrinted>
  <dcterms:created xsi:type="dcterms:W3CDTF">2013-05-20T13:49:00Z</dcterms:created>
  <dcterms:modified xsi:type="dcterms:W3CDTF">2013-08-22T03:38:00Z</dcterms:modified>
</cp:coreProperties>
</file>